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4A52F" w14:textId="77777777" w:rsidR="00156F4E" w:rsidRDefault="00156F4E" w:rsidP="00156F4E">
      <w:pPr>
        <w:keepNext/>
        <w:spacing w:line="360" w:lineRule="auto"/>
        <w:jc w:val="center"/>
        <w:outlineLvl w:val="1"/>
        <w:rPr>
          <w:rFonts w:cs="Arial"/>
          <w:b/>
          <w:bCs/>
          <w:color w:val="000000"/>
        </w:rPr>
      </w:pPr>
      <w:bookmarkStart w:id="0" w:name="_Hlk115767823"/>
      <w:r>
        <w:rPr>
          <w:rFonts w:cs="Arial"/>
          <w:b/>
          <w:bCs/>
          <w:noProof/>
          <w:color w:val="000000"/>
          <w:lang w:val="en-GB" w:eastAsia="en-GB"/>
        </w:rPr>
        <w:drawing>
          <wp:anchor distT="0" distB="0" distL="114300" distR="114300" simplePos="0" relativeHeight="251659264" behindDoc="0" locked="0" layoutInCell="1" allowOverlap="1" wp14:anchorId="74B56BAA" wp14:editId="6EF06193">
            <wp:simplePos x="0" y="0"/>
            <wp:positionH relativeFrom="column">
              <wp:posOffset>1475740</wp:posOffset>
            </wp:positionH>
            <wp:positionV relativeFrom="paragraph">
              <wp:posOffset>-159385</wp:posOffset>
            </wp:positionV>
            <wp:extent cx="2794409" cy="2124075"/>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794409" cy="2124075"/>
                    </a:xfrm>
                    <a:prstGeom prst="rect">
                      <a:avLst/>
                    </a:prstGeom>
                  </pic:spPr>
                </pic:pic>
              </a:graphicData>
            </a:graphic>
            <wp14:sizeRelH relativeFrom="page">
              <wp14:pctWidth>0</wp14:pctWidth>
            </wp14:sizeRelH>
            <wp14:sizeRelV relativeFrom="page">
              <wp14:pctHeight>0</wp14:pctHeight>
            </wp14:sizeRelV>
          </wp:anchor>
        </w:drawing>
      </w:r>
    </w:p>
    <w:p w14:paraId="2351D70A" w14:textId="77777777" w:rsidR="00156F4E" w:rsidRDefault="00156F4E" w:rsidP="00156F4E">
      <w:pPr>
        <w:keepNext/>
        <w:spacing w:line="360" w:lineRule="auto"/>
        <w:jc w:val="center"/>
        <w:outlineLvl w:val="1"/>
        <w:rPr>
          <w:rFonts w:cs="Arial"/>
          <w:b/>
          <w:bCs/>
          <w:color w:val="000000"/>
        </w:rPr>
      </w:pPr>
    </w:p>
    <w:p w14:paraId="15B361BE" w14:textId="77777777" w:rsidR="00156F4E" w:rsidRDefault="00156F4E" w:rsidP="00156F4E">
      <w:pPr>
        <w:keepNext/>
        <w:spacing w:line="360" w:lineRule="auto"/>
        <w:jc w:val="center"/>
        <w:outlineLvl w:val="1"/>
        <w:rPr>
          <w:rFonts w:cs="Arial"/>
          <w:b/>
          <w:bCs/>
          <w:color w:val="000000"/>
        </w:rPr>
      </w:pPr>
    </w:p>
    <w:p w14:paraId="1DB977F6" w14:textId="77777777" w:rsidR="00156F4E" w:rsidRDefault="00156F4E" w:rsidP="00156F4E">
      <w:pPr>
        <w:keepNext/>
        <w:spacing w:line="360" w:lineRule="auto"/>
        <w:jc w:val="center"/>
        <w:outlineLvl w:val="1"/>
        <w:rPr>
          <w:rFonts w:cs="Arial"/>
          <w:b/>
          <w:bCs/>
          <w:color w:val="000000"/>
        </w:rPr>
      </w:pPr>
    </w:p>
    <w:p w14:paraId="6F3BEC36" w14:textId="77777777" w:rsidR="00156F4E" w:rsidRDefault="00156F4E" w:rsidP="00156F4E">
      <w:pPr>
        <w:keepNext/>
        <w:spacing w:line="360" w:lineRule="auto"/>
        <w:jc w:val="center"/>
        <w:outlineLvl w:val="1"/>
        <w:rPr>
          <w:rFonts w:cs="Arial"/>
          <w:b/>
          <w:bCs/>
          <w:color w:val="000000"/>
        </w:rPr>
      </w:pPr>
    </w:p>
    <w:p w14:paraId="68E1B745" w14:textId="77777777" w:rsidR="00156F4E" w:rsidRDefault="00156F4E" w:rsidP="00156F4E">
      <w:pPr>
        <w:keepNext/>
        <w:spacing w:line="360" w:lineRule="auto"/>
        <w:jc w:val="center"/>
        <w:outlineLvl w:val="1"/>
        <w:rPr>
          <w:rFonts w:cs="Arial"/>
          <w:b/>
          <w:bCs/>
          <w:color w:val="000000"/>
        </w:rPr>
      </w:pPr>
    </w:p>
    <w:p w14:paraId="3640C263" w14:textId="77777777" w:rsidR="00156F4E" w:rsidRDefault="00156F4E" w:rsidP="00156F4E">
      <w:pPr>
        <w:keepNext/>
        <w:spacing w:line="360" w:lineRule="auto"/>
        <w:jc w:val="center"/>
        <w:outlineLvl w:val="1"/>
        <w:rPr>
          <w:rFonts w:cs="Arial"/>
          <w:b/>
          <w:bCs/>
          <w:color w:val="000000"/>
          <w:sz w:val="28"/>
          <w:szCs w:val="28"/>
        </w:rPr>
      </w:pPr>
    </w:p>
    <w:p w14:paraId="6D6E0E27" w14:textId="77777777" w:rsidR="00156F4E" w:rsidRDefault="00156F4E" w:rsidP="00156F4E">
      <w:pPr>
        <w:keepNext/>
        <w:spacing w:line="360" w:lineRule="auto"/>
        <w:jc w:val="center"/>
        <w:outlineLvl w:val="1"/>
        <w:rPr>
          <w:rFonts w:cs="Arial"/>
          <w:b/>
          <w:bCs/>
          <w:color w:val="000000"/>
          <w:sz w:val="28"/>
          <w:szCs w:val="28"/>
        </w:rPr>
      </w:pPr>
    </w:p>
    <w:p w14:paraId="3221E53B" w14:textId="7B6C6B83" w:rsidR="00156F4E" w:rsidRPr="00B851B1" w:rsidRDefault="00156F4E" w:rsidP="00156F4E">
      <w:pPr>
        <w:keepNext/>
        <w:spacing w:line="360" w:lineRule="auto"/>
        <w:jc w:val="center"/>
        <w:outlineLvl w:val="1"/>
        <w:rPr>
          <w:rFonts w:cs="Arial"/>
          <w:b/>
          <w:bCs/>
          <w:color w:val="000000"/>
          <w:sz w:val="32"/>
          <w:szCs w:val="32"/>
        </w:rPr>
      </w:pPr>
      <w:r>
        <w:rPr>
          <w:rFonts w:cs="Arial"/>
          <w:b/>
          <w:bCs/>
          <w:color w:val="000000"/>
          <w:sz w:val="32"/>
          <w:szCs w:val="32"/>
        </w:rPr>
        <w:t xml:space="preserve">Annual Investment </w:t>
      </w:r>
      <w:r w:rsidR="003932B7">
        <w:rPr>
          <w:rFonts w:cs="Arial"/>
          <w:b/>
          <w:bCs/>
          <w:color w:val="000000"/>
          <w:sz w:val="32"/>
          <w:szCs w:val="32"/>
        </w:rPr>
        <w:t xml:space="preserve">Strategy </w:t>
      </w:r>
      <w:r w:rsidR="00842095">
        <w:rPr>
          <w:rFonts w:cs="Arial"/>
          <w:b/>
          <w:bCs/>
          <w:color w:val="000000"/>
          <w:sz w:val="32"/>
          <w:szCs w:val="32"/>
        </w:rPr>
        <w:t>2025 - 2026</w:t>
      </w:r>
    </w:p>
    <w:p w14:paraId="5963D409" w14:textId="77777777" w:rsidR="00156F4E" w:rsidRDefault="00156F4E" w:rsidP="00156F4E">
      <w:pPr>
        <w:keepNext/>
        <w:spacing w:line="360" w:lineRule="auto"/>
        <w:outlineLvl w:val="1"/>
        <w:rPr>
          <w:rFonts w:cs="Arial"/>
          <w:b/>
          <w:bCs/>
          <w:color w:val="000000"/>
          <w:sz w:val="28"/>
          <w:szCs w:val="28"/>
        </w:rPr>
      </w:pPr>
    </w:p>
    <w:p w14:paraId="65CA41AC" w14:textId="77777777" w:rsidR="00156F4E" w:rsidRDefault="00156F4E" w:rsidP="00156F4E">
      <w:pPr>
        <w:keepNext/>
        <w:spacing w:line="360" w:lineRule="auto"/>
        <w:outlineLvl w:val="1"/>
        <w:rPr>
          <w:rFonts w:cs="Arial"/>
          <w:b/>
          <w:bCs/>
          <w:color w:val="000000"/>
          <w:sz w:val="28"/>
          <w:szCs w:val="28"/>
        </w:rPr>
      </w:pPr>
    </w:p>
    <w:tbl>
      <w:tblPr>
        <w:tblStyle w:val="TableGrid"/>
        <w:tblW w:w="0" w:type="auto"/>
        <w:tblLook w:val="04A0" w:firstRow="1" w:lastRow="0" w:firstColumn="1" w:lastColumn="0" w:noHBand="0" w:noVBand="1"/>
      </w:tblPr>
      <w:tblGrid>
        <w:gridCol w:w="3397"/>
        <w:gridCol w:w="5619"/>
      </w:tblGrid>
      <w:tr w:rsidR="00156F4E" w14:paraId="5B4A5BBC" w14:textId="77777777" w:rsidTr="001A4964">
        <w:tc>
          <w:tcPr>
            <w:tcW w:w="3397" w:type="dxa"/>
          </w:tcPr>
          <w:p w14:paraId="1B464C9D" w14:textId="77777777" w:rsidR="00156F4E" w:rsidRDefault="00156F4E" w:rsidP="001A4964">
            <w:pPr>
              <w:keepNext/>
              <w:spacing w:line="360" w:lineRule="auto"/>
              <w:outlineLvl w:val="1"/>
              <w:rPr>
                <w:rFonts w:cs="Arial"/>
                <w:b/>
                <w:bCs/>
                <w:color w:val="000000"/>
                <w:sz w:val="28"/>
                <w:szCs w:val="28"/>
              </w:rPr>
            </w:pPr>
            <w:r>
              <w:rPr>
                <w:rFonts w:cs="Arial"/>
                <w:b/>
                <w:bCs/>
                <w:color w:val="000000"/>
                <w:sz w:val="28"/>
                <w:szCs w:val="28"/>
              </w:rPr>
              <w:t>Policy Ref.</w:t>
            </w:r>
          </w:p>
        </w:tc>
        <w:tc>
          <w:tcPr>
            <w:tcW w:w="5619" w:type="dxa"/>
          </w:tcPr>
          <w:p w14:paraId="72F5D070" w14:textId="32ADA424" w:rsidR="00156F4E" w:rsidRDefault="00156F4E" w:rsidP="001A4964">
            <w:pPr>
              <w:keepNext/>
              <w:spacing w:line="360" w:lineRule="auto"/>
              <w:outlineLvl w:val="1"/>
              <w:rPr>
                <w:rFonts w:cs="Arial"/>
                <w:color w:val="000000"/>
                <w:sz w:val="28"/>
                <w:szCs w:val="28"/>
              </w:rPr>
            </w:pPr>
            <w:r>
              <w:rPr>
                <w:rFonts w:cs="Arial"/>
                <w:color w:val="000000"/>
                <w:sz w:val="28"/>
                <w:szCs w:val="28"/>
              </w:rPr>
              <w:t>F9</w:t>
            </w:r>
          </w:p>
        </w:tc>
      </w:tr>
      <w:tr w:rsidR="00156F4E" w14:paraId="139969A7" w14:textId="77777777" w:rsidTr="001A4964">
        <w:tc>
          <w:tcPr>
            <w:tcW w:w="3397" w:type="dxa"/>
          </w:tcPr>
          <w:p w14:paraId="4EAE2FA9" w14:textId="77777777" w:rsidR="00156F4E" w:rsidRDefault="00156F4E" w:rsidP="001A4964">
            <w:pPr>
              <w:keepNext/>
              <w:spacing w:line="360" w:lineRule="auto"/>
              <w:outlineLvl w:val="1"/>
              <w:rPr>
                <w:rFonts w:cs="Arial"/>
                <w:b/>
                <w:bCs/>
                <w:color w:val="000000"/>
                <w:sz w:val="28"/>
                <w:szCs w:val="28"/>
              </w:rPr>
            </w:pPr>
            <w:r>
              <w:rPr>
                <w:rFonts w:cs="Arial"/>
                <w:b/>
                <w:bCs/>
                <w:color w:val="000000"/>
                <w:sz w:val="28"/>
                <w:szCs w:val="28"/>
              </w:rPr>
              <w:t>Date Last Adopted</w:t>
            </w:r>
          </w:p>
        </w:tc>
        <w:tc>
          <w:tcPr>
            <w:tcW w:w="5619" w:type="dxa"/>
          </w:tcPr>
          <w:p w14:paraId="0B67439C" w14:textId="170D71DB" w:rsidR="00156F4E" w:rsidRPr="00D30184" w:rsidRDefault="00156F4E" w:rsidP="00842095">
            <w:pPr>
              <w:keepNext/>
              <w:spacing w:line="360" w:lineRule="auto"/>
              <w:outlineLvl w:val="1"/>
              <w:rPr>
                <w:rFonts w:cs="Arial"/>
                <w:color w:val="000000"/>
                <w:sz w:val="28"/>
                <w:szCs w:val="28"/>
              </w:rPr>
            </w:pPr>
            <w:r w:rsidRPr="00D30184">
              <w:rPr>
                <w:rFonts w:cs="Arial"/>
                <w:sz w:val="28"/>
                <w:szCs w:val="28"/>
              </w:rPr>
              <w:t xml:space="preserve">March </w:t>
            </w:r>
            <w:r w:rsidR="006E1585" w:rsidRPr="00D30184">
              <w:rPr>
                <w:rFonts w:cs="Arial"/>
                <w:sz w:val="28"/>
                <w:szCs w:val="28"/>
              </w:rPr>
              <w:t>202</w:t>
            </w:r>
            <w:r w:rsidR="00842095" w:rsidRPr="00D30184">
              <w:rPr>
                <w:rFonts w:cs="Arial"/>
                <w:sz w:val="28"/>
                <w:szCs w:val="28"/>
              </w:rPr>
              <w:t>5</w:t>
            </w:r>
          </w:p>
        </w:tc>
      </w:tr>
      <w:tr w:rsidR="00156F4E" w14:paraId="6A3DBF5C" w14:textId="77777777" w:rsidTr="001A4964">
        <w:tc>
          <w:tcPr>
            <w:tcW w:w="3397" w:type="dxa"/>
          </w:tcPr>
          <w:p w14:paraId="7F76E50F" w14:textId="77777777" w:rsidR="00156F4E" w:rsidRDefault="00156F4E" w:rsidP="001A4964">
            <w:pPr>
              <w:keepNext/>
              <w:spacing w:line="360" w:lineRule="auto"/>
              <w:outlineLvl w:val="1"/>
              <w:rPr>
                <w:rFonts w:cs="Arial"/>
                <w:b/>
                <w:bCs/>
                <w:color w:val="000000"/>
                <w:sz w:val="28"/>
                <w:szCs w:val="28"/>
              </w:rPr>
            </w:pPr>
            <w:r>
              <w:rPr>
                <w:rFonts w:cs="Arial"/>
                <w:b/>
                <w:bCs/>
                <w:color w:val="000000"/>
                <w:sz w:val="28"/>
                <w:szCs w:val="28"/>
              </w:rPr>
              <w:t>Date of Next Review</w:t>
            </w:r>
          </w:p>
        </w:tc>
        <w:tc>
          <w:tcPr>
            <w:tcW w:w="5619" w:type="dxa"/>
          </w:tcPr>
          <w:p w14:paraId="0F3E75E6" w14:textId="1432F3B5" w:rsidR="00156F4E" w:rsidRPr="005B4DD1" w:rsidRDefault="00156F4E" w:rsidP="00842095">
            <w:pPr>
              <w:keepNext/>
              <w:spacing w:line="360" w:lineRule="auto"/>
              <w:outlineLvl w:val="1"/>
              <w:rPr>
                <w:rFonts w:cs="Arial"/>
                <w:color w:val="000000"/>
                <w:sz w:val="28"/>
                <w:szCs w:val="28"/>
              </w:rPr>
            </w:pPr>
            <w:r>
              <w:rPr>
                <w:rFonts w:cs="Arial"/>
                <w:color w:val="000000"/>
                <w:sz w:val="28"/>
                <w:szCs w:val="28"/>
              </w:rPr>
              <w:t xml:space="preserve">March </w:t>
            </w:r>
            <w:r w:rsidR="006E1585">
              <w:rPr>
                <w:rFonts w:cs="Arial"/>
                <w:color w:val="000000"/>
                <w:sz w:val="28"/>
                <w:szCs w:val="28"/>
              </w:rPr>
              <w:t>202</w:t>
            </w:r>
            <w:r w:rsidR="00842095">
              <w:rPr>
                <w:rFonts w:cs="Arial"/>
                <w:color w:val="000000"/>
                <w:sz w:val="28"/>
                <w:szCs w:val="28"/>
              </w:rPr>
              <w:t>6</w:t>
            </w:r>
          </w:p>
        </w:tc>
      </w:tr>
      <w:tr w:rsidR="00156F4E" w14:paraId="1FFE0695" w14:textId="77777777" w:rsidTr="001A4964">
        <w:tc>
          <w:tcPr>
            <w:tcW w:w="3397" w:type="dxa"/>
          </w:tcPr>
          <w:p w14:paraId="5DE31F36" w14:textId="77777777" w:rsidR="00156F4E" w:rsidRDefault="00156F4E" w:rsidP="001A4964">
            <w:pPr>
              <w:keepNext/>
              <w:spacing w:line="360" w:lineRule="auto"/>
              <w:outlineLvl w:val="1"/>
              <w:rPr>
                <w:rFonts w:cs="Arial"/>
                <w:b/>
                <w:bCs/>
                <w:color w:val="000000"/>
                <w:sz w:val="28"/>
                <w:szCs w:val="28"/>
              </w:rPr>
            </w:pPr>
            <w:r>
              <w:rPr>
                <w:rFonts w:cs="Arial"/>
                <w:b/>
                <w:bCs/>
                <w:color w:val="000000"/>
                <w:sz w:val="28"/>
                <w:szCs w:val="28"/>
              </w:rPr>
              <w:t>Possible Prompts for Earlier Review</w:t>
            </w:r>
          </w:p>
        </w:tc>
        <w:tc>
          <w:tcPr>
            <w:tcW w:w="5619" w:type="dxa"/>
          </w:tcPr>
          <w:p w14:paraId="1548AC13" w14:textId="7B67D897" w:rsidR="00156F4E" w:rsidRPr="00ED48BF" w:rsidRDefault="00ED48BF" w:rsidP="00ED48BF">
            <w:pPr>
              <w:keepNext/>
              <w:spacing w:line="360" w:lineRule="auto"/>
              <w:contextualSpacing/>
              <w:outlineLvl w:val="1"/>
              <w:rPr>
                <w:rFonts w:cs="Arial"/>
                <w:color w:val="000000"/>
                <w:sz w:val="28"/>
                <w:szCs w:val="28"/>
              </w:rPr>
            </w:pPr>
            <w:r>
              <w:rPr>
                <w:rFonts w:cs="Arial"/>
                <w:color w:val="000000"/>
                <w:sz w:val="28"/>
                <w:szCs w:val="28"/>
              </w:rPr>
              <w:t>-</w:t>
            </w:r>
          </w:p>
        </w:tc>
      </w:tr>
      <w:tr w:rsidR="00156F4E" w14:paraId="014F16F2" w14:textId="77777777" w:rsidTr="001A4964">
        <w:tc>
          <w:tcPr>
            <w:tcW w:w="3397" w:type="dxa"/>
          </w:tcPr>
          <w:p w14:paraId="6F4F4603" w14:textId="77777777" w:rsidR="00156F4E" w:rsidRDefault="00156F4E" w:rsidP="001A4964">
            <w:pPr>
              <w:keepNext/>
              <w:spacing w:line="360" w:lineRule="auto"/>
              <w:outlineLvl w:val="1"/>
              <w:rPr>
                <w:rFonts w:cs="Arial"/>
                <w:b/>
                <w:bCs/>
                <w:color w:val="000000"/>
                <w:sz w:val="28"/>
                <w:szCs w:val="28"/>
              </w:rPr>
            </w:pPr>
            <w:r>
              <w:rPr>
                <w:rFonts w:cs="Arial"/>
                <w:b/>
                <w:bCs/>
                <w:color w:val="000000"/>
                <w:sz w:val="28"/>
                <w:szCs w:val="28"/>
              </w:rPr>
              <w:t>Previous Adoption Dates</w:t>
            </w:r>
          </w:p>
        </w:tc>
        <w:tc>
          <w:tcPr>
            <w:tcW w:w="5619" w:type="dxa"/>
          </w:tcPr>
          <w:p w14:paraId="2A7A81C2" w14:textId="1C62026D" w:rsidR="00842095" w:rsidRDefault="00842095" w:rsidP="001A4964">
            <w:pPr>
              <w:keepNext/>
              <w:spacing w:line="360" w:lineRule="auto"/>
              <w:outlineLvl w:val="1"/>
              <w:rPr>
                <w:rFonts w:cs="Arial"/>
                <w:color w:val="000000"/>
                <w:sz w:val="28"/>
                <w:szCs w:val="28"/>
              </w:rPr>
            </w:pPr>
            <w:r>
              <w:rPr>
                <w:rFonts w:cs="Arial"/>
                <w:color w:val="000000"/>
                <w:sz w:val="28"/>
                <w:szCs w:val="28"/>
              </w:rPr>
              <w:t>March 2024</w:t>
            </w:r>
          </w:p>
          <w:p w14:paraId="23D2C0FD" w14:textId="74A933F4" w:rsidR="00B84D66" w:rsidRDefault="00B84D66" w:rsidP="001A4964">
            <w:pPr>
              <w:keepNext/>
              <w:spacing w:line="360" w:lineRule="auto"/>
              <w:outlineLvl w:val="1"/>
              <w:rPr>
                <w:rFonts w:cs="Arial"/>
                <w:color w:val="000000"/>
                <w:sz w:val="28"/>
                <w:szCs w:val="28"/>
              </w:rPr>
            </w:pPr>
            <w:r>
              <w:rPr>
                <w:rFonts w:cs="Arial"/>
                <w:color w:val="000000"/>
                <w:sz w:val="28"/>
                <w:szCs w:val="28"/>
              </w:rPr>
              <w:t>March 2023</w:t>
            </w:r>
          </w:p>
          <w:p w14:paraId="1A3B09AF" w14:textId="3225F165" w:rsidR="00F153B7" w:rsidRDefault="00F153B7" w:rsidP="001A4964">
            <w:pPr>
              <w:keepNext/>
              <w:spacing w:line="360" w:lineRule="auto"/>
              <w:outlineLvl w:val="1"/>
              <w:rPr>
                <w:rFonts w:cs="Arial"/>
                <w:color w:val="000000"/>
                <w:sz w:val="28"/>
                <w:szCs w:val="28"/>
              </w:rPr>
            </w:pPr>
            <w:r>
              <w:rPr>
                <w:rFonts w:cs="Arial"/>
                <w:color w:val="000000"/>
                <w:sz w:val="28"/>
                <w:szCs w:val="28"/>
              </w:rPr>
              <w:t>March 2022</w:t>
            </w:r>
          </w:p>
          <w:p w14:paraId="4ADFEEC2" w14:textId="77777777" w:rsidR="00F153B7" w:rsidRDefault="00F153B7" w:rsidP="00F153B7">
            <w:pPr>
              <w:keepNext/>
              <w:spacing w:line="360" w:lineRule="auto"/>
              <w:outlineLvl w:val="1"/>
              <w:rPr>
                <w:rFonts w:cs="Arial"/>
                <w:color w:val="000000"/>
                <w:sz w:val="28"/>
                <w:szCs w:val="28"/>
              </w:rPr>
            </w:pPr>
            <w:r>
              <w:rPr>
                <w:rFonts w:cs="Arial"/>
                <w:color w:val="000000"/>
                <w:sz w:val="28"/>
                <w:szCs w:val="28"/>
              </w:rPr>
              <w:t>March 2021</w:t>
            </w:r>
          </w:p>
          <w:p w14:paraId="619B86D2" w14:textId="77777777" w:rsidR="00F153B7" w:rsidRDefault="00F153B7" w:rsidP="00F153B7">
            <w:pPr>
              <w:keepNext/>
              <w:spacing w:line="360" w:lineRule="auto"/>
              <w:outlineLvl w:val="1"/>
              <w:rPr>
                <w:rFonts w:cs="Arial"/>
                <w:color w:val="000000"/>
                <w:sz w:val="28"/>
                <w:szCs w:val="28"/>
              </w:rPr>
            </w:pPr>
            <w:r>
              <w:rPr>
                <w:rFonts w:cs="Arial"/>
                <w:color w:val="000000"/>
                <w:sz w:val="28"/>
                <w:szCs w:val="28"/>
              </w:rPr>
              <w:t>July 2020</w:t>
            </w:r>
          </w:p>
          <w:p w14:paraId="3AC69733" w14:textId="1858DAE8" w:rsidR="00ED48BF" w:rsidRDefault="00ED48BF" w:rsidP="001A4964">
            <w:pPr>
              <w:keepNext/>
              <w:spacing w:line="360" w:lineRule="auto"/>
              <w:outlineLvl w:val="1"/>
              <w:rPr>
                <w:rFonts w:cs="Arial"/>
                <w:color w:val="000000"/>
                <w:sz w:val="28"/>
                <w:szCs w:val="28"/>
              </w:rPr>
            </w:pPr>
            <w:r>
              <w:rPr>
                <w:rFonts w:cs="Arial"/>
                <w:color w:val="000000"/>
                <w:sz w:val="28"/>
                <w:szCs w:val="28"/>
              </w:rPr>
              <w:t xml:space="preserve">April </w:t>
            </w:r>
            <w:r w:rsidR="00156F4E">
              <w:rPr>
                <w:rFonts w:cs="Arial"/>
                <w:color w:val="000000"/>
                <w:sz w:val="28"/>
                <w:szCs w:val="28"/>
              </w:rPr>
              <w:t>2019</w:t>
            </w:r>
          </w:p>
          <w:p w14:paraId="29A6DBE8" w14:textId="2DB0DA08" w:rsidR="006E1585" w:rsidRPr="005B4DD1" w:rsidRDefault="006E1585" w:rsidP="00F153B7">
            <w:pPr>
              <w:keepNext/>
              <w:spacing w:line="360" w:lineRule="auto"/>
              <w:outlineLvl w:val="1"/>
              <w:rPr>
                <w:rFonts w:cs="Arial"/>
                <w:color w:val="000000"/>
                <w:sz w:val="28"/>
                <w:szCs w:val="28"/>
              </w:rPr>
            </w:pPr>
          </w:p>
        </w:tc>
      </w:tr>
      <w:tr w:rsidR="00156F4E" w14:paraId="0C49A4A7" w14:textId="77777777" w:rsidTr="001A4964">
        <w:tc>
          <w:tcPr>
            <w:tcW w:w="3397" w:type="dxa"/>
          </w:tcPr>
          <w:p w14:paraId="522FF637" w14:textId="77777777" w:rsidR="00156F4E" w:rsidRDefault="00156F4E" w:rsidP="001A4964">
            <w:pPr>
              <w:keepNext/>
              <w:spacing w:line="360" w:lineRule="auto"/>
              <w:outlineLvl w:val="1"/>
              <w:rPr>
                <w:rFonts w:cs="Arial"/>
                <w:b/>
                <w:bCs/>
                <w:color w:val="000000"/>
                <w:sz w:val="28"/>
                <w:szCs w:val="28"/>
              </w:rPr>
            </w:pPr>
            <w:r>
              <w:rPr>
                <w:rFonts w:cs="Arial"/>
                <w:b/>
                <w:bCs/>
                <w:color w:val="000000"/>
                <w:sz w:val="28"/>
                <w:szCs w:val="28"/>
              </w:rPr>
              <w:t>Author</w:t>
            </w:r>
          </w:p>
        </w:tc>
        <w:tc>
          <w:tcPr>
            <w:tcW w:w="5619" w:type="dxa"/>
          </w:tcPr>
          <w:p w14:paraId="15056D95" w14:textId="70A0511C" w:rsidR="00156F4E" w:rsidRDefault="003932B7" w:rsidP="001A4964">
            <w:pPr>
              <w:keepNext/>
              <w:spacing w:line="360" w:lineRule="auto"/>
              <w:outlineLvl w:val="1"/>
              <w:rPr>
                <w:rFonts w:cs="Arial"/>
                <w:color w:val="000000"/>
                <w:sz w:val="28"/>
                <w:szCs w:val="28"/>
              </w:rPr>
            </w:pPr>
            <w:r>
              <w:rPr>
                <w:rFonts w:cs="Arial"/>
                <w:color w:val="000000"/>
                <w:sz w:val="28"/>
                <w:szCs w:val="28"/>
              </w:rPr>
              <w:t>Responsible Financial Officer</w:t>
            </w:r>
          </w:p>
        </w:tc>
      </w:tr>
    </w:tbl>
    <w:p w14:paraId="003E6500" w14:textId="77777777" w:rsidR="00156F4E" w:rsidRDefault="00156F4E" w:rsidP="00156F4E">
      <w:pPr>
        <w:keepNext/>
        <w:spacing w:line="360" w:lineRule="auto"/>
        <w:outlineLvl w:val="1"/>
        <w:rPr>
          <w:rFonts w:cs="Arial"/>
          <w:b/>
          <w:bCs/>
          <w:color w:val="000000"/>
          <w:sz w:val="28"/>
          <w:szCs w:val="28"/>
        </w:rPr>
      </w:pPr>
    </w:p>
    <w:bookmarkEnd w:id="0"/>
    <w:p w14:paraId="051641DC" w14:textId="0EBA0368" w:rsidR="00156F4E" w:rsidRDefault="00156F4E" w:rsidP="005A7736">
      <w:pPr>
        <w:widowControl w:val="0"/>
        <w:autoSpaceDE w:val="0"/>
        <w:autoSpaceDN w:val="0"/>
        <w:adjustRightInd w:val="0"/>
        <w:jc w:val="center"/>
        <w:rPr>
          <w:b/>
          <w:noProof/>
          <w:color w:val="000000"/>
          <w:sz w:val="36"/>
          <w:szCs w:val="36"/>
          <w:u w:val="single"/>
          <w:lang w:val="en-GB" w:eastAsia="en-GB"/>
        </w:rPr>
      </w:pPr>
    </w:p>
    <w:p w14:paraId="11216EDF" w14:textId="4AA71C6E" w:rsidR="00156F4E" w:rsidRDefault="00156F4E" w:rsidP="005A7736">
      <w:pPr>
        <w:widowControl w:val="0"/>
        <w:autoSpaceDE w:val="0"/>
        <w:autoSpaceDN w:val="0"/>
        <w:adjustRightInd w:val="0"/>
        <w:jc w:val="center"/>
        <w:rPr>
          <w:b/>
          <w:noProof/>
          <w:color w:val="000000"/>
          <w:sz w:val="36"/>
          <w:szCs w:val="36"/>
          <w:u w:val="single"/>
          <w:lang w:val="en-GB" w:eastAsia="en-GB"/>
        </w:rPr>
      </w:pPr>
    </w:p>
    <w:p w14:paraId="07FA8361" w14:textId="308EC46E" w:rsidR="00156F4E" w:rsidRDefault="00156F4E" w:rsidP="005A7736">
      <w:pPr>
        <w:widowControl w:val="0"/>
        <w:autoSpaceDE w:val="0"/>
        <w:autoSpaceDN w:val="0"/>
        <w:adjustRightInd w:val="0"/>
        <w:jc w:val="center"/>
        <w:rPr>
          <w:b/>
          <w:noProof/>
          <w:color w:val="000000"/>
          <w:sz w:val="36"/>
          <w:szCs w:val="36"/>
          <w:u w:val="single"/>
          <w:lang w:val="en-GB" w:eastAsia="en-GB"/>
        </w:rPr>
      </w:pPr>
    </w:p>
    <w:p w14:paraId="70127F88" w14:textId="10B380DE" w:rsidR="00156F4E" w:rsidRDefault="00156F4E" w:rsidP="005A7736">
      <w:pPr>
        <w:widowControl w:val="0"/>
        <w:autoSpaceDE w:val="0"/>
        <w:autoSpaceDN w:val="0"/>
        <w:adjustRightInd w:val="0"/>
        <w:jc w:val="center"/>
        <w:rPr>
          <w:b/>
          <w:noProof/>
          <w:color w:val="000000"/>
          <w:sz w:val="36"/>
          <w:szCs w:val="36"/>
          <w:u w:val="single"/>
          <w:lang w:val="en-GB" w:eastAsia="en-GB"/>
        </w:rPr>
      </w:pPr>
    </w:p>
    <w:p w14:paraId="51636CE2" w14:textId="6E5508B1" w:rsidR="00156F4E" w:rsidRDefault="00156F4E" w:rsidP="005A7736">
      <w:pPr>
        <w:widowControl w:val="0"/>
        <w:autoSpaceDE w:val="0"/>
        <w:autoSpaceDN w:val="0"/>
        <w:adjustRightInd w:val="0"/>
        <w:jc w:val="center"/>
        <w:rPr>
          <w:b/>
          <w:noProof/>
          <w:color w:val="000000"/>
          <w:sz w:val="36"/>
          <w:szCs w:val="36"/>
          <w:u w:val="single"/>
          <w:lang w:val="en-GB" w:eastAsia="en-GB"/>
        </w:rPr>
      </w:pPr>
    </w:p>
    <w:p w14:paraId="39BB783C" w14:textId="6D91F7E8" w:rsidR="00020816" w:rsidRPr="002B2AC1" w:rsidRDefault="00020816" w:rsidP="00B22966">
      <w:pPr>
        <w:jc w:val="center"/>
        <w:rPr>
          <w:b/>
          <w:bCs/>
          <w:sz w:val="28"/>
          <w:szCs w:val="28"/>
          <w:lang w:val="en-GB"/>
        </w:rPr>
      </w:pPr>
      <w:r w:rsidRPr="002B2AC1">
        <w:rPr>
          <w:b/>
          <w:bCs/>
          <w:sz w:val="28"/>
          <w:szCs w:val="28"/>
          <w:lang w:val="en-GB"/>
        </w:rPr>
        <w:lastRenderedPageBreak/>
        <w:t>A</w:t>
      </w:r>
      <w:r w:rsidR="002B2AC1" w:rsidRPr="002B2AC1">
        <w:rPr>
          <w:b/>
          <w:bCs/>
          <w:sz w:val="28"/>
          <w:szCs w:val="28"/>
          <w:lang w:val="en-GB"/>
        </w:rPr>
        <w:t xml:space="preserve">nnual Investment Strategy </w:t>
      </w:r>
      <w:r w:rsidR="00842095">
        <w:rPr>
          <w:b/>
          <w:bCs/>
          <w:sz w:val="28"/>
          <w:szCs w:val="28"/>
          <w:lang w:val="en-GB"/>
        </w:rPr>
        <w:t>2025 - 2026</w:t>
      </w:r>
    </w:p>
    <w:p w14:paraId="680075C7" w14:textId="77777777" w:rsidR="00020816" w:rsidRDefault="00020816" w:rsidP="00020816">
      <w:pPr>
        <w:jc w:val="both"/>
        <w:rPr>
          <w:lang w:val="en-GB"/>
        </w:rPr>
      </w:pPr>
    </w:p>
    <w:p w14:paraId="74B34747" w14:textId="6A894D73" w:rsidR="00020816" w:rsidRPr="00CE57C6" w:rsidRDefault="00020816" w:rsidP="00F153B7">
      <w:pPr>
        <w:pStyle w:val="Caption"/>
        <w:jc w:val="left"/>
      </w:pPr>
      <w:r w:rsidRPr="00CE57C6">
        <w:t xml:space="preserve">The </w:t>
      </w:r>
      <w:r w:rsidR="00A67FDD" w:rsidRPr="00CE57C6">
        <w:t xml:space="preserve">Town </w:t>
      </w:r>
      <w:r w:rsidRPr="00CE57C6">
        <w:t>Council has had regard to the</w:t>
      </w:r>
      <w:r w:rsidR="003F5044">
        <w:t xml:space="preserve"> </w:t>
      </w:r>
      <w:hyperlink r:id="rId12" w:history="1">
        <w:r w:rsidR="003F5044" w:rsidRPr="00F153B7">
          <w:rPr>
            <w:rStyle w:val="Hyperlink"/>
          </w:rPr>
          <w:t>Statutory Guidance o</w:t>
        </w:r>
        <w:r w:rsidR="003F5044" w:rsidRPr="00F153B7">
          <w:rPr>
            <w:rStyle w:val="Hyperlink"/>
          </w:rPr>
          <w:t>n</w:t>
        </w:r>
        <w:r w:rsidR="003F5044" w:rsidRPr="00F153B7">
          <w:rPr>
            <w:rStyle w:val="Hyperlink"/>
          </w:rPr>
          <w:t xml:space="preserve"> Local Government Investments</w:t>
        </w:r>
      </w:hyperlink>
      <w:r w:rsidR="003F5044">
        <w:t xml:space="preserve"> produced by the</w:t>
      </w:r>
      <w:r w:rsidR="006921F3">
        <w:t xml:space="preserve"> </w:t>
      </w:r>
      <w:r w:rsidR="00FA2882">
        <w:t>Ministry of Housing, Communities &amp; Local Government</w:t>
      </w:r>
      <w:r w:rsidR="00CF2A2B" w:rsidRPr="00CE57C6">
        <w:t xml:space="preserve"> </w:t>
      </w:r>
      <w:r w:rsidR="00FA2882">
        <w:t xml:space="preserve">(MHCLG) </w:t>
      </w:r>
      <w:r w:rsidRPr="00CE57C6">
        <w:t>and CIPFA’s Treasury Management in Public Services: Code of Practice and Guidance Notes</w:t>
      </w:r>
      <w:r w:rsidR="003F5044">
        <w:t xml:space="preserve"> for Local Authorities</w:t>
      </w:r>
      <w:r w:rsidR="00D80313">
        <w:t>.</w:t>
      </w:r>
    </w:p>
    <w:p w14:paraId="6B31727C" w14:textId="63C908AA" w:rsidR="00020816" w:rsidRPr="00A67FDD" w:rsidRDefault="00020816" w:rsidP="00F153B7">
      <w:pPr>
        <w:pStyle w:val="Caption"/>
        <w:jc w:val="left"/>
      </w:pPr>
      <w:r>
        <w:t xml:space="preserve">This Annual Investment Strategy states which investments the </w:t>
      </w:r>
      <w:r w:rsidR="00A67FDD">
        <w:t xml:space="preserve">Town </w:t>
      </w:r>
      <w:r>
        <w:t>Council may use for prudent management of its treasury balances during the financial year.</w:t>
      </w:r>
    </w:p>
    <w:p w14:paraId="5A90DB46" w14:textId="51C608B3" w:rsidR="00020816" w:rsidRPr="008A68F9" w:rsidRDefault="00020816" w:rsidP="00F153B7">
      <w:pPr>
        <w:pStyle w:val="Caption"/>
        <w:jc w:val="left"/>
        <w:rPr>
          <w:b/>
          <w:bCs/>
        </w:rPr>
      </w:pPr>
      <w:r w:rsidRPr="008A68F9">
        <w:rPr>
          <w:b/>
          <w:bCs/>
        </w:rPr>
        <w:t>Investment Objectives</w:t>
      </w:r>
    </w:p>
    <w:p w14:paraId="0238FBC7" w14:textId="54ACF640" w:rsidR="00020816" w:rsidRPr="00360E23" w:rsidRDefault="00020816" w:rsidP="00F153B7">
      <w:pPr>
        <w:numPr>
          <w:ilvl w:val="1"/>
          <w:numId w:val="8"/>
        </w:numPr>
        <w:tabs>
          <w:tab w:val="clear" w:pos="720"/>
          <w:tab w:val="num" w:pos="1276"/>
        </w:tabs>
        <w:spacing w:line="360" w:lineRule="auto"/>
        <w:ind w:left="1276" w:hanging="567"/>
        <w:rPr>
          <w:lang w:val="en-GB"/>
        </w:rPr>
      </w:pPr>
      <w:r w:rsidRPr="00360E23">
        <w:rPr>
          <w:lang w:val="en-GB"/>
        </w:rPr>
        <w:t xml:space="preserve">All investments will be in </w:t>
      </w:r>
      <w:r w:rsidR="003F5044">
        <w:rPr>
          <w:lang w:val="en-GB"/>
        </w:rPr>
        <w:t xml:space="preserve">pounds </w:t>
      </w:r>
      <w:r w:rsidRPr="00360E23">
        <w:rPr>
          <w:lang w:val="en-GB"/>
        </w:rPr>
        <w:t>sterling</w:t>
      </w:r>
      <w:r w:rsidR="003F5044">
        <w:rPr>
          <w:lang w:val="en-GB"/>
        </w:rPr>
        <w:t xml:space="preserve"> (£)</w:t>
      </w:r>
      <w:r w:rsidRPr="00360E23">
        <w:rPr>
          <w:lang w:val="en-GB"/>
        </w:rPr>
        <w:t>.</w:t>
      </w:r>
    </w:p>
    <w:p w14:paraId="5F1FB19F" w14:textId="256EA66A" w:rsidR="00020816" w:rsidRPr="00360E23" w:rsidRDefault="00020816" w:rsidP="00F153B7">
      <w:pPr>
        <w:numPr>
          <w:ilvl w:val="1"/>
          <w:numId w:val="8"/>
        </w:numPr>
        <w:tabs>
          <w:tab w:val="clear" w:pos="720"/>
          <w:tab w:val="num" w:pos="1276"/>
        </w:tabs>
        <w:spacing w:line="360" w:lineRule="auto"/>
        <w:ind w:left="1276" w:hanging="567"/>
        <w:rPr>
          <w:lang w:val="en-GB"/>
        </w:rPr>
      </w:pPr>
      <w:r w:rsidRPr="00360E23">
        <w:rPr>
          <w:lang w:val="en-GB"/>
        </w:rPr>
        <w:t xml:space="preserve">The general public policy objective for this </w:t>
      </w:r>
      <w:r w:rsidR="008A68F9">
        <w:rPr>
          <w:lang w:val="en-GB"/>
        </w:rPr>
        <w:t xml:space="preserve">Town </w:t>
      </w:r>
      <w:r w:rsidRPr="00360E23">
        <w:rPr>
          <w:lang w:val="en-GB"/>
        </w:rPr>
        <w:t>Council is the prudent investment of its treasury balances.</w:t>
      </w:r>
    </w:p>
    <w:p w14:paraId="5DEE00AC" w14:textId="7CA22DE7" w:rsidR="00020816" w:rsidRPr="00360E23" w:rsidRDefault="00020816" w:rsidP="00F153B7">
      <w:pPr>
        <w:numPr>
          <w:ilvl w:val="1"/>
          <w:numId w:val="8"/>
        </w:numPr>
        <w:tabs>
          <w:tab w:val="clear" w:pos="720"/>
          <w:tab w:val="num" w:pos="1276"/>
        </w:tabs>
        <w:spacing w:line="360" w:lineRule="auto"/>
        <w:ind w:left="1276" w:hanging="567"/>
        <w:rPr>
          <w:lang w:val="en-GB"/>
        </w:rPr>
      </w:pPr>
      <w:r w:rsidRPr="00360E23">
        <w:rPr>
          <w:lang w:val="en-GB"/>
        </w:rPr>
        <w:t>The</w:t>
      </w:r>
      <w:r w:rsidR="008A68F9">
        <w:rPr>
          <w:lang w:val="en-GB"/>
        </w:rPr>
        <w:t xml:space="preserve"> Town</w:t>
      </w:r>
      <w:r w:rsidRPr="00360E23">
        <w:rPr>
          <w:lang w:val="en-GB"/>
        </w:rPr>
        <w:t xml:space="preserve"> Council’s investment priorities are the security of reserves and liquidity of its investments.</w:t>
      </w:r>
    </w:p>
    <w:p w14:paraId="0E9CA426" w14:textId="1ADF7459" w:rsidR="00020816" w:rsidRPr="00360E23" w:rsidRDefault="00020816" w:rsidP="00F153B7">
      <w:pPr>
        <w:numPr>
          <w:ilvl w:val="1"/>
          <w:numId w:val="8"/>
        </w:numPr>
        <w:tabs>
          <w:tab w:val="clear" w:pos="720"/>
          <w:tab w:val="num" w:pos="1276"/>
        </w:tabs>
        <w:spacing w:line="360" w:lineRule="auto"/>
        <w:ind w:left="1276" w:hanging="567"/>
        <w:rPr>
          <w:lang w:val="en-GB"/>
        </w:rPr>
      </w:pPr>
      <w:r w:rsidRPr="00360E23">
        <w:rPr>
          <w:lang w:val="en-GB"/>
        </w:rPr>
        <w:t xml:space="preserve">The </w:t>
      </w:r>
      <w:r w:rsidR="008A68F9">
        <w:rPr>
          <w:lang w:val="en-GB"/>
        </w:rPr>
        <w:t xml:space="preserve">Town </w:t>
      </w:r>
      <w:r w:rsidRPr="00360E23">
        <w:rPr>
          <w:lang w:val="en-GB"/>
        </w:rPr>
        <w:t>Council will aim to achieve the optimum return on its investments commensurate with the proper levels of security and liquidity.</w:t>
      </w:r>
    </w:p>
    <w:p w14:paraId="261FCD78" w14:textId="0F18AFA9" w:rsidR="00020816" w:rsidRPr="00A67FDD" w:rsidRDefault="00020816" w:rsidP="00F153B7">
      <w:pPr>
        <w:numPr>
          <w:ilvl w:val="1"/>
          <w:numId w:val="8"/>
        </w:numPr>
        <w:tabs>
          <w:tab w:val="clear" w:pos="720"/>
          <w:tab w:val="num" w:pos="1276"/>
        </w:tabs>
        <w:spacing w:line="360" w:lineRule="auto"/>
        <w:ind w:left="1276" w:hanging="567"/>
        <w:rPr>
          <w:lang w:val="en-GB"/>
        </w:rPr>
      </w:pPr>
      <w:r>
        <w:rPr>
          <w:lang w:val="en-GB"/>
        </w:rPr>
        <w:t xml:space="preserve">The </w:t>
      </w:r>
      <w:r w:rsidR="00FA2882">
        <w:rPr>
          <w:lang w:val="en-GB"/>
        </w:rPr>
        <w:t xml:space="preserve">MHCLG </w:t>
      </w:r>
      <w:r w:rsidR="00842095">
        <w:rPr>
          <w:lang w:val="en-GB"/>
        </w:rPr>
        <w:t xml:space="preserve">states </w:t>
      </w:r>
      <w:r>
        <w:rPr>
          <w:lang w:val="en-GB"/>
        </w:rPr>
        <w:t xml:space="preserve">that the borrowing </w:t>
      </w:r>
      <w:r w:rsidR="00D30184">
        <w:rPr>
          <w:lang w:val="en-GB"/>
        </w:rPr>
        <w:t>solely for</w:t>
      </w:r>
      <w:r w:rsidR="00842095">
        <w:rPr>
          <w:lang w:val="en-GB"/>
        </w:rPr>
        <w:t xml:space="preserve"> the purpose of investment and lending to generate a return</w:t>
      </w:r>
      <w:r>
        <w:rPr>
          <w:lang w:val="en-GB"/>
        </w:rPr>
        <w:t xml:space="preserve"> is unlawful and this </w:t>
      </w:r>
      <w:r w:rsidR="008A68F9">
        <w:rPr>
          <w:lang w:val="en-GB"/>
        </w:rPr>
        <w:t xml:space="preserve">Town </w:t>
      </w:r>
      <w:r>
        <w:rPr>
          <w:lang w:val="en-GB"/>
        </w:rPr>
        <w:t>Council will not engage in such activity.</w:t>
      </w:r>
    </w:p>
    <w:p w14:paraId="609F7F47" w14:textId="1CFF33F2" w:rsidR="00020816" w:rsidRPr="008A68F9" w:rsidRDefault="00020816" w:rsidP="00F153B7">
      <w:pPr>
        <w:pStyle w:val="Caption"/>
        <w:jc w:val="left"/>
        <w:rPr>
          <w:b/>
          <w:bCs/>
        </w:rPr>
      </w:pPr>
      <w:r w:rsidRPr="008A68F9">
        <w:rPr>
          <w:b/>
          <w:bCs/>
        </w:rPr>
        <w:t>Investment Balances/Liquidity of Investments</w:t>
      </w:r>
    </w:p>
    <w:p w14:paraId="61E2AA12" w14:textId="66E76655" w:rsidR="00701157" w:rsidRPr="00D0560E" w:rsidRDefault="00020816" w:rsidP="00F153B7">
      <w:pPr>
        <w:numPr>
          <w:ilvl w:val="1"/>
          <w:numId w:val="9"/>
        </w:numPr>
        <w:tabs>
          <w:tab w:val="clear" w:pos="720"/>
          <w:tab w:val="num" w:pos="1276"/>
        </w:tabs>
        <w:spacing w:line="360" w:lineRule="auto"/>
        <w:ind w:left="1276" w:hanging="567"/>
        <w:rPr>
          <w:lang w:val="en-GB"/>
        </w:rPr>
      </w:pPr>
      <w:r w:rsidRPr="00701157">
        <w:rPr>
          <w:lang w:val="en-GB"/>
        </w:rPr>
        <w:t xml:space="preserve">Based on its cash flow forecasts, the </w:t>
      </w:r>
      <w:r w:rsidR="008A68F9">
        <w:rPr>
          <w:lang w:val="en-GB"/>
        </w:rPr>
        <w:t xml:space="preserve">Town </w:t>
      </w:r>
      <w:r w:rsidRPr="00701157">
        <w:rPr>
          <w:lang w:val="en-GB"/>
        </w:rPr>
        <w:t xml:space="preserve">Council anticipates its fund balances in the financial year </w:t>
      </w:r>
      <w:r w:rsidR="00842095">
        <w:rPr>
          <w:lang w:val="en-GB"/>
        </w:rPr>
        <w:t>2025 - 2026</w:t>
      </w:r>
      <w:r w:rsidR="00D0560E">
        <w:rPr>
          <w:lang w:val="en-GB"/>
        </w:rPr>
        <w:t xml:space="preserve"> </w:t>
      </w:r>
      <w:r w:rsidRPr="00701157">
        <w:rPr>
          <w:lang w:val="en-GB"/>
        </w:rPr>
        <w:t xml:space="preserve">will be up </w:t>
      </w:r>
      <w:r w:rsidRPr="00D0560E">
        <w:rPr>
          <w:lang w:val="en-GB"/>
        </w:rPr>
        <w:t>to £</w:t>
      </w:r>
      <w:r w:rsidR="001E79E1">
        <w:rPr>
          <w:lang w:val="en-GB"/>
        </w:rPr>
        <w:t>2,5</w:t>
      </w:r>
      <w:r w:rsidR="006E1585" w:rsidRPr="00D0560E">
        <w:rPr>
          <w:lang w:val="en-GB"/>
        </w:rPr>
        <w:t>00</w:t>
      </w:r>
      <w:r w:rsidR="0078748E" w:rsidRPr="00D0560E">
        <w:rPr>
          <w:lang w:val="en-GB"/>
        </w:rPr>
        <w:t>,000</w:t>
      </w:r>
      <w:r w:rsidR="008A68F9" w:rsidRPr="00D0560E">
        <w:rPr>
          <w:lang w:val="en-GB"/>
        </w:rPr>
        <w:t>.</w:t>
      </w:r>
    </w:p>
    <w:p w14:paraId="4FA3683A" w14:textId="319AED0A" w:rsidR="00020816" w:rsidRPr="00266881" w:rsidRDefault="0020665A" w:rsidP="00F153B7">
      <w:pPr>
        <w:numPr>
          <w:ilvl w:val="1"/>
          <w:numId w:val="9"/>
        </w:numPr>
        <w:tabs>
          <w:tab w:val="clear" w:pos="720"/>
          <w:tab w:val="num" w:pos="1276"/>
        </w:tabs>
        <w:spacing w:line="360" w:lineRule="auto"/>
        <w:ind w:left="1276" w:hanging="567"/>
        <w:rPr>
          <w:lang w:val="en-GB"/>
        </w:rPr>
      </w:pPr>
      <w:r w:rsidRPr="00701157">
        <w:rPr>
          <w:lang w:val="en-GB"/>
        </w:rPr>
        <w:t>T</w:t>
      </w:r>
      <w:r w:rsidR="00020816" w:rsidRPr="00701157">
        <w:rPr>
          <w:lang w:val="en-GB"/>
        </w:rPr>
        <w:t xml:space="preserve">he </w:t>
      </w:r>
      <w:r w:rsidR="008A68F9">
        <w:rPr>
          <w:lang w:val="en-GB"/>
        </w:rPr>
        <w:t xml:space="preserve">Town </w:t>
      </w:r>
      <w:r w:rsidR="00020816" w:rsidRPr="00701157">
        <w:rPr>
          <w:lang w:val="en-GB"/>
        </w:rPr>
        <w:t>Council</w:t>
      </w:r>
      <w:r w:rsidRPr="00701157">
        <w:rPr>
          <w:lang w:val="en-GB"/>
        </w:rPr>
        <w:t xml:space="preserve"> has considered the</w:t>
      </w:r>
      <w:r w:rsidR="00020816" w:rsidRPr="00701157">
        <w:rPr>
          <w:lang w:val="en-GB"/>
        </w:rPr>
        <w:t xml:space="preserve"> current level of balances and estimated levels over the next </w:t>
      </w:r>
      <w:r w:rsidR="008A68F9">
        <w:rPr>
          <w:lang w:val="en-GB"/>
        </w:rPr>
        <w:t>three</w:t>
      </w:r>
      <w:r w:rsidR="00020816" w:rsidRPr="00701157">
        <w:rPr>
          <w:lang w:val="en-GB"/>
        </w:rPr>
        <w:t xml:space="preserve"> years coupled with the need for liquidity, its spend commitments and provision for contingencies</w:t>
      </w:r>
      <w:r w:rsidR="00266881">
        <w:rPr>
          <w:lang w:val="en-GB"/>
        </w:rPr>
        <w:t xml:space="preserve">. </w:t>
      </w:r>
      <w:r w:rsidR="004455A5">
        <w:rPr>
          <w:lang w:val="en-GB"/>
        </w:rPr>
        <w:t>I</w:t>
      </w:r>
      <w:r w:rsidRPr="00266881">
        <w:rPr>
          <w:lang w:val="en-GB"/>
        </w:rPr>
        <w:t xml:space="preserve">nvestments may be made for longer than </w:t>
      </w:r>
      <w:r w:rsidR="008A68F9">
        <w:rPr>
          <w:lang w:val="en-GB"/>
        </w:rPr>
        <w:t>one</w:t>
      </w:r>
      <w:r w:rsidRPr="00266881">
        <w:rPr>
          <w:lang w:val="en-GB"/>
        </w:rPr>
        <w:t xml:space="preserve"> year but only in CCLA</w:t>
      </w:r>
      <w:r w:rsidR="008A68F9">
        <w:rPr>
          <w:lang w:val="en-GB"/>
        </w:rPr>
        <w:t>’</w:t>
      </w:r>
      <w:r w:rsidRPr="00266881">
        <w:rPr>
          <w:lang w:val="en-GB"/>
        </w:rPr>
        <w:t xml:space="preserve">s Local Authorities Property </w:t>
      </w:r>
      <w:r w:rsidR="00BA3217" w:rsidRPr="00266881">
        <w:rPr>
          <w:lang w:val="en-GB"/>
        </w:rPr>
        <w:t xml:space="preserve">Fund (LAPF) </w:t>
      </w:r>
      <w:r w:rsidRPr="00266881">
        <w:rPr>
          <w:lang w:val="en-GB"/>
        </w:rPr>
        <w:t xml:space="preserve">and only balances that will not be needed for at least </w:t>
      </w:r>
      <w:r w:rsidR="008A68F9">
        <w:rPr>
          <w:lang w:val="en-GB"/>
        </w:rPr>
        <w:t>two</w:t>
      </w:r>
      <w:r w:rsidRPr="00266881">
        <w:rPr>
          <w:lang w:val="en-GB"/>
        </w:rPr>
        <w:t xml:space="preserve"> years</w:t>
      </w:r>
      <w:r w:rsidR="00506DBB" w:rsidRPr="00266881">
        <w:rPr>
          <w:lang w:val="en-GB"/>
        </w:rPr>
        <w:t>.</w:t>
      </w:r>
    </w:p>
    <w:p w14:paraId="6A2E684F" w14:textId="1B9325A7" w:rsidR="0092292D" w:rsidRPr="00A67FDD" w:rsidRDefault="00483BF3" w:rsidP="00F153B7">
      <w:pPr>
        <w:numPr>
          <w:ilvl w:val="1"/>
          <w:numId w:val="9"/>
        </w:numPr>
        <w:tabs>
          <w:tab w:val="clear" w:pos="720"/>
          <w:tab w:val="num" w:pos="1276"/>
        </w:tabs>
        <w:spacing w:line="360" w:lineRule="auto"/>
        <w:ind w:left="1276" w:hanging="567"/>
        <w:rPr>
          <w:lang w:val="en-GB"/>
        </w:rPr>
      </w:pPr>
      <w:r w:rsidRPr="00266881">
        <w:rPr>
          <w:lang w:val="en-GB"/>
        </w:rPr>
        <w:t xml:space="preserve">In order to maintain sufficient security and liquidity the </w:t>
      </w:r>
      <w:r w:rsidR="008A68F9">
        <w:rPr>
          <w:lang w:val="en-GB"/>
        </w:rPr>
        <w:t xml:space="preserve">Town </w:t>
      </w:r>
      <w:r w:rsidRPr="00266881">
        <w:rPr>
          <w:lang w:val="en-GB"/>
        </w:rPr>
        <w:t xml:space="preserve">Council will manage any surplus funds mainly through </w:t>
      </w:r>
      <w:r w:rsidR="0078748E" w:rsidRPr="00266881">
        <w:rPr>
          <w:lang w:val="en-GB"/>
        </w:rPr>
        <w:t>CCLA</w:t>
      </w:r>
      <w:r w:rsidR="00F4535B">
        <w:rPr>
          <w:lang w:val="en-GB"/>
        </w:rPr>
        <w:t>’</w:t>
      </w:r>
      <w:r w:rsidR="0078748E" w:rsidRPr="00266881">
        <w:rPr>
          <w:lang w:val="en-GB"/>
        </w:rPr>
        <w:t>s Public Sector Deposit Fund</w:t>
      </w:r>
      <w:r w:rsidR="008A68F9">
        <w:rPr>
          <w:lang w:val="en-GB"/>
        </w:rPr>
        <w:t>,</w:t>
      </w:r>
      <w:r w:rsidR="0078748E" w:rsidRPr="00266881">
        <w:rPr>
          <w:lang w:val="en-GB"/>
        </w:rPr>
        <w:t xml:space="preserve"> </w:t>
      </w:r>
      <w:r w:rsidRPr="00266881">
        <w:rPr>
          <w:lang w:val="en-GB"/>
        </w:rPr>
        <w:t xml:space="preserve">which provide </w:t>
      </w:r>
      <w:r w:rsidR="0078748E">
        <w:rPr>
          <w:lang w:val="en-GB"/>
        </w:rPr>
        <w:t>an optimal</w:t>
      </w:r>
      <w:r w:rsidRPr="00266881">
        <w:rPr>
          <w:lang w:val="en-GB"/>
        </w:rPr>
        <w:t xml:space="preserve"> rate of interes</w:t>
      </w:r>
      <w:r w:rsidR="007150B3" w:rsidRPr="00266881">
        <w:rPr>
          <w:lang w:val="en-GB"/>
        </w:rPr>
        <w:t xml:space="preserve">t. At the discretion of the </w:t>
      </w:r>
      <w:r w:rsidR="0005085D">
        <w:rPr>
          <w:lang w:val="en-GB"/>
        </w:rPr>
        <w:t>Responsible Financial Officer (</w:t>
      </w:r>
      <w:r w:rsidR="007150B3" w:rsidRPr="00266881">
        <w:rPr>
          <w:lang w:val="en-GB"/>
        </w:rPr>
        <w:t>RFO</w:t>
      </w:r>
      <w:r w:rsidR="0005085D">
        <w:rPr>
          <w:lang w:val="en-GB"/>
        </w:rPr>
        <w:t>)</w:t>
      </w:r>
      <w:r w:rsidR="007150B3" w:rsidRPr="00266881">
        <w:rPr>
          <w:lang w:val="en-GB"/>
        </w:rPr>
        <w:t xml:space="preserve">, </w:t>
      </w:r>
      <w:r w:rsidRPr="00266881">
        <w:rPr>
          <w:lang w:val="en-GB"/>
        </w:rPr>
        <w:t xml:space="preserve">in consultation with the Town </w:t>
      </w:r>
      <w:r w:rsidRPr="00266881">
        <w:rPr>
          <w:lang w:val="en-GB"/>
        </w:rPr>
        <w:lastRenderedPageBreak/>
        <w:t>Clerk, deposits in other UK banks, with a minimum long term Moody’s (or equivalent) credit rating of ‘A’</w:t>
      </w:r>
      <w:r w:rsidR="007150B3" w:rsidRPr="00266881">
        <w:rPr>
          <w:lang w:val="en-GB"/>
        </w:rPr>
        <w:t>,</w:t>
      </w:r>
      <w:r w:rsidRPr="00266881">
        <w:rPr>
          <w:lang w:val="en-GB"/>
        </w:rPr>
        <w:t xml:space="preserve"> may be used if offering a higher rate of interest.</w:t>
      </w:r>
    </w:p>
    <w:p w14:paraId="5C929131" w14:textId="6F23E2B3" w:rsidR="00020816" w:rsidRPr="00266881" w:rsidRDefault="00020816" w:rsidP="00F153B7">
      <w:pPr>
        <w:pStyle w:val="Caption"/>
        <w:jc w:val="left"/>
      </w:pPr>
      <w:r w:rsidRPr="00266881">
        <w:rPr>
          <w:b/>
          <w:bCs/>
        </w:rPr>
        <w:t xml:space="preserve">Investments </w:t>
      </w:r>
      <w:r w:rsidR="008A68F9">
        <w:rPr>
          <w:b/>
          <w:bCs/>
        </w:rPr>
        <w:t>D</w:t>
      </w:r>
      <w:r w:rsidRPr="00266881">
        <w:rPr>
          <w:b/>
          <w:bCs/>
        </w:rPr>
        <w:t xml:space="preserve">efined as </w:t>
      </w:r>
      <w:r w:rsidR="008A68F9">
        <w:rPr>
          <w:b/>
          <w:bCs/>
        </w:rPr>
        <w:t>C</w:t>
      </w:r>
      <w:r w:rsidRPr="00266881">
        <w:rPr>
          <w:b/>
          <w:bCs/>
        </w:rPr>
        <w:t xml:space="preserve">apital </w:t>
      </w:r>
      <w:r w:rsidR="008A68F9">
        <w:rPr>
          <w:b/>
          <w:bCs/>
        </w:rPr>
        <w:t>E</w:t>
      </w:r>
      <w:r w:rsidRPr="00266881">
        <w:rPr>
          <w:b/>
          <w:bCs/>
        </w:rPr>
        <w:t>xpenditure</w:t>
      </w:r>
    </w:p>
    <w:p w14:paraId="7DD8EB86" w14:textId="77777777" w:rsidR="00020816" w:rsidRPr="00266881" w:rsidRDefault="00020816" w:rsidP="00F153B7">
      <w:pPr>
        <w:numPr>
          <w:ilvl w:val="1"/>
          <w:numId w:val="10"/>
        </w:numPr>
        <w:tabs>
          <w:tab w:val="clear" w:pos="862"/>
        </w:tabs>
        <w:spacing w:line="360" w:lineRule="auto"/>
        <w:ind w:left="1276" w:hanging="567"/>
        <w:rPr>
          <w:lang w:val="en-GB"/>
        </w:rPr>
      </w:pPr>
      <w:r w:rsidRPr="00266881">
        <w:rPr>
          <w:lang w:val="en-GB"/>
        </w:rPr>
        <w:t>The acquisition of share capital or loan capital in any body corporate is defined as capital expenditure under Section 16(2) of the Local Government Act 2003.  Such investment will have to be funded out of capital or revenue resources and will be classified as “non specified investments”.</w:t>
      </w:r>
    </w:p>
    <w:p w14:paraId="05D07503" w14:textId="6131044C" w:rsidR="00020816" w:rsidRPr="00266881" w:rsidRDefault="00020816" w:rsidP="00F153B7">
      <w:pPr>
        <w:numPr>
          <w:ilvl w:val="1"/>
          <w:numId w:val="10"/>
        </w:numPr>
        <w:spacing w:line="360" w:lineRule="auto"/>
        <w:ind w:left="1276" w:hanging="567"/>
        <w:rPr>
          <w:lang w:val="en-GB"/>
        </w:rPr>
      </w:pPr>
      <w:r w:rsidRPr="00266881">
        <w:rPr>
          <w:lang w:val="en-GB"/>
        </w:rPr>
        <w:t xml:space="preserve">A loan or grant by </w:t>
      </w:r>
      <w:r w:rsidR="00713C27">
        <w:rPr>
          <w:lang w:val="en-GB"/>
        </w:rPr>
        <w:t>this</w:t>
      </w:r>
      <w:r w:rsidR="008A68F9">
        <w:rPr>
          <w:lang w:val="en-GB"/>
        </w:rPr>
        <w:t xml:space="preserve"> </w:t>
      </w:r>
      <w:r w:rsidR="003F5044">
        <w:rPr>
          <w:lang w:val="en-GB"/>
        </w:rPr>
        <w:t xml:space="preserve">Town </w:t>
      </w:r>
      <w:r w:rsidRPr="00266881">
        <w:rPr>
          <w:lang w:val="en-GB"/>
        </w:rPr>
        <w:t xml:space="preserve">Council to another body for capital expenditure by that body is also deemed by regulation to be capital expenditure by this </w:t>
      </w:r>
      <w:r w:rsidR="003F5044">
        <w:rPr>
          <w:lang w:val="en-GB"/>
        </w:rPr>
        <w:t xml:space="preserve">Town </w:t>
      </w:r>
      <w:r w:rsidRPr="00266881">
        <w:rPr>
          <w:lang w:val="en-GB"/>
        </w:rPr>
        <w:t xml:space="preserve">Council.  It is therefore important for this </w:t>
      </w:r>
      <w:r w:rsidR="003F5044">
        <w:rPr>
          <w:lang w:val="en-GB"/>
        </w:rPr>
        <w:t xml:space="preserve">Town </w:t>
      </w:r>
      <w:r w:rsidRPr="00266881">
        <w:rPr>
          <w:lang w:val="en-GB"/>
        </w:rPr>
        <w:t xml:space="preserve">Council to clearly identify if the loan has been made for policy reasons or if it is an investment for treasury management purposes.  The latter will be governed by the framework set by the </w:t>
      </w:r>
      <w:r w:rsidR="00713C27">
        <w:rPr>
          <w:lang w:val="en-GB"/>
        </w:rPr>
        <w:t xml:space="preserve">Town </w:t>
      </w:r>
      <w:r w:rsidRPr="00266881">
        <w:rPr>
          <w:lang w:val="en-GB"/>
        </w:rPr>
        <w:t>Council for “specified” and “non-specified” investments.</w:t>
      </w:r>
    </w:p>
    <w:p w14:paraId="21D1576C" w14:textId="0CC57D41" w:rsidR="006972EB" w:rsidRPr="00A67FDD" w:rsidRDefault="00020816" w:rsidP="00F153B7">
      <w:pPr>
        <w:numPr>
          <w:ilvl w:val="1"/>
          <w:numId w:val="10"/>
        </w:numPr>
        <w:tabs>
          <w:tab w:val="clear" w:pos="862"/>
        </w:tabs>
        <w:spacing w:line="360" w:lineRule="auto"/>
        <w:ind w:left="1276" w:hanging="567"/>
        <w:rPr>
          <w:lang w:val="en-GB"/>
        </w:rPr>
      </w:pPr>
      <w:r w:rsidRPr="00266881">
        <w:rPr>
          <w:lang w:val="en-GB"/>
        </w:rPr>
        <w:t xml:space="preserve">It is not envisaged that any investments of a capital expenditure nature will be entered into during </w:t>
      </w:r>
      <w:r w:rsidR="00842095">
        <w:rPr>
          <w:lang w:val="en-GB"/>
        </w:rPr>
        <w:t>2025 - 2026</w:t>
      </w:r>
      <w:r w:rsidR="006972EB" w:rsidRPr="00266881">
        <w:rPr>
          <w:lang w:val="en-GB"/>
        </w:rPr>
        <w:t>.</w:t>
      </w:r>
      <w:r w:rsidR="00BA3217" w:rsidRPr="00266881">
        <w:rPr>
          <w:lang w:val="en-GB"/>
        </w:rPr>
        <w:t xml:space="preserve"> Investment in the LAPF is not classed as Capital Expenditure.</w:t>
      </w:r>
    </w:p>
    <w:p w14:paraId="45681725" w14:textId="57A40E86" w:rsidR="00020816" w:rsidRPr="002B2AC1" w:rsidRDefault="00020816" w:rsidP="00F153B7">
      <w:pPr>
        <w:pStyle w:val="Caption"/>
        <w:jc w:val="left"/>
        <w:rPr>
          <w:b/>
          <w:bCs/>
        </w:rPr>
      </w:pPr>
      <w:r w:rsidRPr="002B2AC1">
        <w:rPr>
          <w:b/>
          <w:bCs/>
        </w:rPr>
        <w:t xml:space="preserve">Provisions for </w:t>
      </w:r>
      <w:r w:rsidR="002B2AC1">
        <w:rPr>
          <w:b/>
          <w:bCs/>
        </w:rPr>
        <w:t>C</w:t>
      </w:r>
      <w:r w:rsidRPr="002B2AC1">
        <w:rPr>
          <w:b/>
          <w:bCs/>
        </w:rPr>
        <w:t xml:space="preserve">redit </w:t>
      </w:r>
      <w:r w:rsidR="002B2AC1">
        <w:rPr>
          <w:b/>
          <w:bCs/>
        </w:rPr>
        <w:t>R</w:t>
      </w:r>
      <w:r w:rsidRPr="002B2AC1">
        <w:rPr>
          <w:b/>
          <w:bCs/>
        </w:rPr>
        <w:t xml:space="preserve">elated </w:t>
      </w:r>
      <w:r w:rsidR="002B2AC1">
        <w:rPr>
          <w:b/>
          <w:bCs/>
        </w:rPr>
        <w:t>L</w:t>
      </w:r>
      <w:r w:rsidRPr="002B2AC1">
        <w:rPr>
          <w:b/>
          <w:bCs/>
        </w:rPr>
        <w:t>osses</w:t>
      </w:r>
    </w:p>
    <w:p w14:paraId="2EC3C172" w14:textId="310FBC1F" w:rsidR="00020816" w:rsidRDefault="00020816" w:rsidP="00F153B7">
      <w:pPr>
        <w:spacing w:line="360" w:lineRule="auto"/>
        <w:ind w:left="1276" w:hanging="567"/>
        <w:rPr>
          <w:lang w:val="en-GB"/>
        </w:rPr>
      </w:pPr>
      <w:r>
        <w:rPr>
          <w:lang w:val="en-GB"/>
        </w:rPr>
        <w:t>6.1</w:t>
      </w:r>
      <w:r>
        <w:rPr>
          <w:lang w:val="en-GB"/>
        </w:rPr>
        <w:tab/>
        <w:t xml:space="preserve">If any of the </w:t>
      </w:r>
      <w:r w:rsidR="002B2AC1">
        <w:rPr>
          <w:lang w:val="en-GB"/>
        </w:rPr>
        <w:t xml:space="preserve">Town </w:t>
      </w:r>
      <w:r>
        <w:rPr>
          <w:lang w:val="en-GB"/>
        </w:rPr>
        <w:t>Council’s investments appear at risk of loss due to default (i.e. a credit rated loss, and not one resulting from a fall in price due to movements in interest rates)</w:t>
      </w:r>
      <w:r w:rsidR="002B2AC1">
        <w:rPr>
          <w:lang w:val="en-GB"/>
        </w:rPr>
        <w:t>,</w:t>
      </w:r>
      <w:r>
        <w:rPr>
          <w:lang w:val="en-GB"/>
        </w:rPr>
        <w:t xml:space="preserve"> the </w:t>
      </w:r>
      <w:r w:rsidR="002B2AC1">
        <w:rPr>
          <w:lang w:val="en-GB"/>
        </w:rPr>
        <w:t xml:space="preserve">Town </w:t>
      </w:r>
      <w:r>
        <w:rPr>
          <w:lang w:val="en-GB"/>
        </w:rPr>
        <w:t xml:space="preserve">Council will make revenue provision of an appropriate amount.  </w:t>
      </w:r>
    </w:p>
    <w:p w14:paraId="230D265F" w14:textId="4F46E838" w:rsidR="00020816" w:rsidRPr="002B2AC1" w:rsidRDefault="00020816" w:rsidP="00F153B7">
      <w:pPr>
        <w:pStyle w:val="Caption"/>
        <w:jc w:val="left"/>
        <w:rPr>
          <w:b/>
          <w:bCs/>
        </w:rPr>
      </w:pPr>
      <w:r>
        <w:tab/>
      </w:r>
      <w:r w:rsidRPr="002B2AC1">
        <w:rPr>
          <w:b/>
          <w:bCs/>
        </w:rPr>
        <w:t xml:space="preserve">Investment Strategy to be </w:t>
      </w:r>
      <w:r w:rsidR="002B2AC1">
        <w:rPr>
          <w:b/>
          <w:bCs/>
        </w:rPr>
        <w:t>F</w:t>
      </w:r>
      <w:r w:rsidRPr="002B2AC1">
        <w:rPr>
          <w:b/>
          <w:bCs/>
        </w:rPr>
        <w:t xml:space="preserve">ollowed </w:t>
      </w:r>
      <w:r w:rsidR="002B2AC1">
        <w:rPr>
          <w:b/>
          <w:bCs/>
        </w:rPr>
        <w:t>I</w:t>
      </w:r>
      <w:r w:rsidRPr="002B2AC1">
        <w:rPr>
          <w:b/>
          <w:bCs/>
        </w:rPr>
        <w:t xml:space="preserve">n </w:t>
      </w:r>
      <w:r w:rsidR="002B2AC1">
        <w:rPr>
          <w:b/>
          <w:bCs/>
        </w:rPr>
        <w:t>H</w:t>
      </w:r>
      <w:r w:rsidRPr="002B2AC1">
        <w:rPr>
          <w:b/>
          <w:bCs/>
        </w:rPr>
        <w:t>ouse</w:t>
      </w:r>
    </w:p>
    <w:p w14:paraId="4A85E0C1" w14:textId="615D7A45" w:rsidR="000C06B5" w:rsidRPr="000C06B5" w:rsidRDefault="00020816" w:rsidP="00F153B7">
      <w:pPr>
        <w:tabs>
          <w:tab w:val="left" w:pos="-720"/>
        </w:tabs>
        <w:suppressAutoHyphens/>
        <w:spacing w:line="360" w:lineRule="auto"/>
        <w:ind w:left="1276" w:hanging="567"/>
      </w:pPr>
      <w:r>
        <w:t>7.1</w:t>
      </w:r>
      <w:r>
        <w:tab/>
      </w:r>
      <w:r w:rsidRPr="00D444D2">
        <w:t xml:space="preserve">To retain not less than </w:t>
      </w:r>
      <w:r w:rsidR="005A22C3">
        <w:t>three</w:t>
      </w:r>
      <w:r w:rsidRPr="00D444D2">
        <w:t xml:space="preserve"> month’s average working capital </w:t>
      </w:r>
      <w:r w:rsidR="00266881">
        <w:t xml:space="preserve">(revenue) </w:t>
      </w:r>
      <w:r w:rsidRPr="00D444D2">
        <w:t xml:space="preserve">requirement in </w:t>
      </w:r>
      <w:r w:rsidR="00266881">
        <w:t xml:space="preserve">the </w:t>
      </w:r>
      <w:r w:rsidRPr="00D444D2">
        <w:t xml:space="preserve">current and </w:t>
      </w:r>
      <w:r>
        <w:t>instant access</w:t>
      </w:r>
      <w:r w:rsidRPr="00D444D2">
        <w:t xml:space="preserve"> a</w:t>
      </w:r>
      <w:r>
        <w:t>ccounts giving immediate access.</w:t>
      </w:r>
    </w:p>
    <w:p w14:paraId="0D0C2894" w14:textId="7C3549E5" w:rsidR="00BE3785" w:rsidRDefault="00020816" w:rsidP="00F153B7">
      <w:pPr>
        <w:pStyle w:val="BodyTextIndent"/>
        <w:spacing w:line="360" w:lineRule="auto"/>
        <w:ind w:left="1276" w:hanging="567"/>
        <w:jc w:val="left"/>
        <w:rPr>
          <w:rFonts w:ascii="Arial" w:hAnsi="Arial" w:cs="Arial"/>
          <w:szCs w:val="24"/>
        </w:rPr>
      </w:pPr>
      <w:r>
        <w:rPr>
          <w:rFonts w:ascii="Arial" w:hAnsi="Arial" w:cs="Arial"/>
          <w:szCs w:val="24"/>
        </w:rPr>
        <w:t>7.2</w:t>
      </w:r>
      <w:r w:rsidRPr="00D444D2">
        <w:rPr>
          <w:rFonts w:ascii="Arial" w:hAnsi="Arial" w:cs="Arial"/>
          <w:szCs w:val="24"/>
        </w:rPr>
        <w:tab/>
      </w:r>
      <w:r w:rsidRPr="00266881">
        <w:rPr>
          <w:rFonts w:ascii="Arial" w:hAnsi="Arial" w:cs="Arial"/>
          <w:szCs w:val="24"/>
        </w:rPr>
        <w:t xml:space="preserve">Amounts representing the balance on Capital Receipts </w:t>
      </w:r>
      <w:r w:rsidR="004455A5">
        <w:rPr>
          <w:rFonts w:ascii="Arial" w:hAnsi="Arial" w:cs="Arial"/>
          <w:szCs w:val="24"/>
        </w:rPr>
        <w:t xml:space="preserve">Earmarked </w:t>
      </w:r>
      <w:r w:rsidRPr="00266881">
        <w:rPr>
          <w:rFonts w:ascii="Arial" w:hAnsi="Arial" w:cs="Arial"/>
          <w:szCs w:val="24"/>
        </w:rPr>
        <w:t>Reserve at the beginning of the financial year</w:t>
      </w:r>
      <w:r w:rsidR="00F4535B">
        <w:rPr>
          <w:rFonts w:ascii="Arial" w:hAnsi="Arial" w:cs="Arial"/>
          <w:szCs w:val="24"/>
        </w:rPr>
        <w:t xml:space="preserve"> may be</w:t>
      </w:r>
      <w:r w:rsidRPr="00266881">
        <w:rPr>
          <w:rFonts w:ascii="Arial" w:hAnsi="Arial" w:cs="Arial"/>
          <w:szCs w:val="24"/>
        </w:rPr>
        <w:t xml:space="preserve"> placed on deposit of up to one year’s duration depending on the prevailing interest rates.</w:t>
      </w:r>
    </w:p>
    <w:p w14:paraId="267D6ECA" w14:textId="77777777" w:rsidR="00020816" w:rsidRPr="00CE6367" w:rsidRDefault="00020816" w:rsidP="00F153B7">
      <w:pPr>
        <w:pStyle w:val="BodyTextIndent"/>
        <w:spacing w:line="360" w:lineRule="auto"/>
        <w:ind w:left="1276" w:hanging="567"/>
        <w:jc w:val="left"/>
      </w:pPr>
      <w:r>
        <w:rPr>
          <w:rFonts w:ascii="Arial" w:hAnsi="Arial" w:cs="Arial"/>
          <w:szCs w:val="24"/>
        </w:rPr>
        <w:t>7.3</w:t>
      </w:r>
      <w:r w:rsidRPr="00D444D2">
        <w:rPr>
          <w:rFonts w:ascii="Arial" w:hAnsi="Arial" w:cs="Arial"/>
          <w:szCs w:val="24"/>
        </w:rPr>
        <w:tab/>
      </w:r>
      <w:r w:rsidRPr="00CE6367">
        <w:rPr>
          <w:rFonts w:ascii="Arial" w:hAnsi="Arial" w:cs="Arial"/>
          <w:szCs w:val="24"/>
        </w:rPr>
        <w:t>Any other funds may be placed on deposit of up to one year’s duration, depending on the prevailing interest rates and forecast cash flow requirements.</w:t>
      </w:r>
    </w:p>
    <w:p w14:paraId="2B01E8D1" w14:textId="79E91A4E" w:rsidR="00020816" w:rsidRPr="00A67FDD" w:rsidRDefault="00C24637" w:rsidP="00F153B7">
      <w:pPr>
        <w:pStyle w:val="BodyTextIndent"/>
        <w:spacing w:line="360" w:lineRule="auto"/>
        <w:ind w:left="1276" w:hanging="567"/>
        <w:jc w:val="left"/>
        <w:rPr>
          <w:rFonts w:ascii="Arial" w:hAnsi="Arial" w:cs="Arial"/>
        </w:rPr>
      </w:pPr>
      <w:r w:rsidRPr="00CE6367">
        <w:rPr>
          <w:rFonts w:ascii="Arial" w:hAnsi="Arial" w:cs="Arial"/>
        </w:rPr>
        <w:lastRenderedPageBreak/>
        <w:t>7.4</w:t>
      </w:r>
      <w:r w:rsidRPr="00CE6367">
        <w:rPr>
          <w:rFonts w:ascii="Arial" w:hAnsi="Arial" w:cs="Arial"/>
        </w:rPr>
        <w:tab/>
      </w:r>
      <w:r w:rsidR="00266881">
        <w:rPr>
          <w:rFonts w:ascii="Arial" w:hAnsi="Arial" w:cs="Arial"/>
        </w:rPr>
        <w:t>Suitably a</w:t>
      </w:r>
      <w:r w:rsidR="000C06B5">
        <w:rPr>
          <w:rFonts w:ascii="Arial" w:hAnsi="Arial" w:cs="Arial"/>
        </w:rPr>
        <w:t>vailable f</w:t>
      </w:r>
      <w:r w:rsidRPr="00266881">
        <w:rPr>
          <w:rFonts w:ascii="Arial" w:hAnsi="Arial" w:cs="Arial"/>
        </w:rPr>
        <w:t>unds may be placed for more than one year in CCLA</w:t>
      </w:r>
      <w:r w:rsidR="00BA3217" w:rsidRPr="00266881">
        <w:rPr>
          <w:rFonts w:ascii="Arial" w:hAnsi="Arial" w:cs="Arial"/>
        </w:rPr>
        <w:t>’</w:t>
      </w:r>
      <w:r w:rsidRPr="00266881">
        <w:rPr>
          <w:rFonts w:ascii="Arial" w:hAnsi="Arial" w:cs="Arial"/>
        </w:rPr>
        <w:t xml:space="preserve">s </w:t>
      </w:r>
      <w:r w:rsidR="00BA3217" w:rsidRPr="00266881">
        <w:rPr>
          <w:rFonts w:ascii="Arial" w:hAnsi="Arial" w:cs="Arial"/>
        </w:rPr>
        <w:t>LAPF</w:t>
      </w:r>
      <w:r w:rsidRPr="00266881">
        <w:rPr>
          <w:rFonts w:ascii="Arial" w:hAnsi="Arial" w:cs="Arial"/>
        </w:rPr>
        <w:t>, depe</w:t>
      </w:r>
      <w:r w:rsidR="00BA3217" w:rsidRPr="00266881">
        <w:rPr>
          <w:rFonts w:ascii="Arial" w:hAnsi="Arial" w:cs="Arial"/>
        </w:rPr>
        <w:t>nding on cash flow requirements, up to a maximum of £2,000,000.</w:t>
      </w:r>
      <w:r w:rsidR="000C06B5">
        <w:rPr>
          <w:rFonts w:ascii="Arial" w:hAnsi="Arial" w:cs="Arial"/>
        </w:rPr>
        <w:t xml:space="preserve"> See 4.2.</w:t>
      </w:r>
    </w:p>
    <w:p w14:paraId="4C73427B" w14:textId="3771F2DD" w:rsidR="00020816" w:rsidRPr="002B2AC1" w:rsidRDefault="00020816" w:rsidP="00F153B7">
      <w:pPr>
        <w:pStyle w:val="Caption"/>
        <w:jc w:val="left"/>
        <w:rPr>
          <w:b/>
          <w:bCs/>
        </w:rPr>
      </w:pPr>
      <w:r w:rsidRPr="002B2AC1">
        <w:rPr>
          <w:b/>
          <w:bCs/>
        </w:rPr>
        <w:t xml:space="preserve">End of </w:t>
      </w:r>
      <w:r w:rsidR="002B2AC1">
        <w:rPr>
          <w:b/>
          <w:bCs/>
        </w:rPr>
        <w:t>Y</w:t>
      </w:r>
      <w:r w:rsidRPr="002B2AC1">
        <w:rPr>
          <w:b/>
          <w:bCs/>
        </w:rPr>
        <w:t>ear Investment Report</w:t>
      </w:r>
    </w:p>
    <w:p w14:paraId="7CCA3ABB" w14:textId="3758DE5C" w:rsidR="00020816" w:rsidRDefault="00020816" w:rsidP="00F153B7">
      <w:pPr>
        <w:spacing w:line="360" w:lineRule="auto"/>
        <w:ind w:left="1276" w:hanging="567"/>
        <w:rPr>
          <w:lang w:val="en-GB"/>
        </w:rPr>
      </w:pPr>
      <w:r>
        <w:rPr>
          <w:lang w:val="en-GB"/>
        </w:rPr>
        <w:t>8.1</w:t>
      </w:r>
      <w:r>
        <w:rPr>
          <w:lang w:val="en-GB"/>
        </w:rPr>
        <w:tab/>
        <w:t>During the budget process the</w:t>
      </w:r>
      <w:r w:rsidR="0005085D">
        <w:rPr>
          <w:lang w:val="en-GB"/>
        </w:rPr>
        <w:t xml:space="preserve"> </w:t>
      </w:r>
      <w:r>
        <w:rPr>
          <w:lang w:val="en-GB"/>
        </w:rPr>
        <w:t>RFO will report on investment forecasts.</w:t>
      </w:r>
    </w:p>
    <w:p w14:paraId="753C04CD" w14:textId="77777777" w:rsidR="00020816" w:rsidRPr="00650A52" w:rsidRDefault="00020816" w:rsidP="00F153B7">
      <w:pPr>
        <w:spacing w:line="360" w:lineRule="auto"/>
        <w:ind w:left="1276" w:hanging="567"/>
        <w:rPr>
          <w:lang w:val="en-GB"/>
        </w:rPr>
      </w:pPr>
      <w:r>
        <w:rPr>
          <w:lang w:val="en-GB"/>
        </w:rPr>
        <w:t>8.2</w:t>
      </w:r>
      <w:r>
        <w:rPr>
          <w:lang w:val="en-GB"/>
        </w:rPr>
        <w:tab/>
        <w:t>At the end of the financial year, the RFO will prepare a report on investment activity.</w:t>
      </w:r>
    </w:p>
    <w:p w14:paraId="1A9129D5" w14:textId="77777777" w:rsidR="0092292D" w:rsidRDefault="0092292D" w:rsidP="006D2089">
      <w:pPr>
        <w:spacing w:line="360" w:lineRule="auto"/>
        <w:jc w:val="both"/>
        <w:rPr>
          <w:b/>
          <w:bCs/>
          <w:lang w:val="en-GB"/>
        </w:rPr>
      </w:pPr>
    </w:p>
    <w:p w14:paraId="4DFE7F82" w14:textId="77777777" w:rsidR="00B22966" w:rsidRDefault="00B22966" w:rsidP="006D2089">
      <w:pPr>
        <w:spacing w:line="360" w:lineRule="auto"/>
        <w:jc w:val="both"/>
        <w:rPr>
          <w:b/>
          <w:bCs/>
          <w:lang w:val="en-GB"/>
        </w:rPr>
      </w:pPr>
    </w:p>
    <w:p w14:paraId="376E81BB" w14:textId="77777777" w:rsidR="00B22966" w:rsidRDefault="00B22966" w:rsidP="006D2089">
      <w:pPr>
        <w:spacing w:line="360" w:lineRule="auto"/>
        <w:jc w:val="both"/>
        <w:rPr>
          <w:b/>
          <w:bCs/>
          <w:lang w:val="en-GB"/>
        </w:rPr>
      </w:pPr>
    </w:p>
    <w:p w14:paraId="249A4617" w14:textId="77777777" w:rsidR="0092292D" w:rsidRPr="0092292D" w:rsidRDefault="0092292D" w:rsidP="006D2089">
      <w:pPr>
        <w:spacing w:line="360" w:lineRule="auto"/>
        <w:rPr>
          <w:lang w:val="en-GB"/>
        </w:rPr>
      </w:pPr>
    </w:p>
    <w:p w14:paraId="4D7FB22D" w14:textId="77777777" w:rsidR="0092292D" w:rsidRPr="0092292D" w:rsidRDefault="0092292D" w:rsidP="0092292D">
      <w:pPr>
        <w:rPr>
          <w:lang w:val="en-GB"/>
        </w:rPr>
      </w:pPr>
    </w:p>
    <w:p w14:paraId="36E34FAD" w14:textId="77777777" w:rsidR="0092292D" w:rsidRPr="0092292D" w:rsidRDefault="0092292D" w:rsidP="0092292D">
      <w:pPr>
        <w:rPr>
          <w:lang w:val="en-GB"/>
        </w:rPr>
      </w:pPr>
    </w:p>
    <w:p w14:paraId="497465D5" w14:textId="77777777" w:rsidR="0092292D" w:rsidRDefault="0092292D" w:rsidP="0092292D">
      <w:pPr>
        <w:rPr>
          <w:lang w:val="en-GB"/>
        </w:rPr>
      </w:pPr>
    </w:p>
    <w:p w14:paraId="117368E2" w14:textId="77777777" w:rsidR="00514B3E" w:rsidRPr="0092292D" w:rsidRDefault="0092292D" w:rsidP="0092292D">
      <w:pPr>
        <w:tabs>
          <w:tab w:val="left" w:pos="1605"/>
        </w:tabs>
        <w:rPr>
          <w:lang w:val="en-GB"/>
        </w:rPr>
      </w:pPr>
      <w:r>
        <w:rPr>
          <w:lang w:val="en-GB"/>
        </w:rPr>
        <w:tab/>
      </w:r>
    </w:p>
    <w:sectPr w:rsidR="00514B3E" w:rsidRPr="0092292D" w:rsidSect="00015DF9">
      <w:headerReference w:type="default" r:id="rId13"/>
      <w:footerReference w:type="default" r:id="rId14"/>
      <w:pgSz w:w="11907" w:h="16840" w:code="9"/>
      <w:pgMar w:top="1440" w:right="1440" w:bottom="1440" w:left="1440" w:header="709" w:footer="27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7DCD3" w14:textId="77777777" w:rsidR="00261002" w:rsidRDefault="00261002" w:rsidP="00691C14">
      <w:r>
        <w:separator/>
      </w:r>
    </w:p>
  </w:endnote>
  <w:endnote w:type="continuationSeparator" w:id="0">
    <w:p w14:paraId="2D65902F" w14:textId="77777777" w:rsidR="00261002" w:rsidRDefault="00261002" w:rsidP="0069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decorative"/>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A5689" w14:textId="3161A0F5" w:rsidR="00156F4E" w:rsidRPr="00156F4E" w:rsidRDefault="00156F4E" w:rsidP="00156F4E">
    <w:pPr>
      <w:pStyle w:val="Footer"/>
    </w:pPr>
    <w:bookmarkStart w:id="1" w:name="_Hlk115767905"/>
    <w:bookmarkStart w:id="2" w:name="_Hlk115767906"/>
    <w:r w:rsidRPr="00156F4E">
      <w:rPr>
        <w:rFonts w:cs="Arial"/>
      </w:rPr>
      <w:t xml:space="preserve">F9 Annual Investment </w:t>
    </w:r>
    <w:r w:rsidR="006E1585">
      <w:rPr>
        <w:rFonts w:cs="Arial"/>
      </w:rPr>
      <w:t>Strategy</w:t>
    </w:r>
    <w:r w:rsidRPr="00156F4E">
      <w:rPr>
        <w:rFonts w:cs="Arial"/>
      </w:rPr>
      <w:t xml:space="preserve"> – Adopted March 202</w:t>
    </w:r>
    <w:r w:rsidR="00F153B7">
      <w:rPr>
        <w:rFonts w:cs="Arial"/>
      </w:rPr>
      <w:t>5</w:t>
    </w:r>
    <w:r w:rsidR="003932B7">
      <w:rPr>
        <w:rFonts w:cs="Arial"/>
      </w:rPr>
      <w:t xml:space="preserve"> - Review </w:t>
    </w:r>
    <w:r w:rsidRPr="00156F4E">
      <w:rPr>
        <w:rFonts w:cs="Arial"/>
      </w:rPr>
      <w:t>March 202</w:t>
    </w:r>
    <w:bookmarkEnd w:id="1"/>
    <w:bookmarkEnd w:id="2"/>
    <w:r w:rsidR="00F153B7">
      <w:rPr>
        <w:rFonts w:cs="Arial"/>
      </w:rPr>
      <w:t>6</w:t>
    </w:r>
  </w:p>
  <w:p w14:paraId="6499CB4F" w14:textId="53EE6A6E" w:rsidR="00156F4E" w:rsidRDefault="00156F4E">
    <w:pPr>
      <w:pStyle w:val="Footer"/>
    </w:pPr>
  </w:p>
  <w:p w14:paraId="5E2B78CC" w14:textId="77777777" w:rsidR="00156F4E" w:rsidRDefault="00156F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47C82" w14:textId="77777777" w:rsidR="00261002" w:rsidRDefault="00261002" w:rsidP="00691C14">
      <w:r>
        <w:separator/>
      </w:r>
    </w:p>
  </w:footnote>
  <w:footnote w:type="continuationSeparator" w:id="0">
    <w:p w14:paraId="66AA63F4" w14:textId="77777777" w:rsidR="00261002" w:rsidRDefault="00261002" w:rsidP="00691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E86F8" w14:textId="7C9AE74F" w:rsidR="003223F7" w:rsidRPr="00AF16C0" w:rsidRDefault="003223F7" w:rsidP="00AF16C0">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9C4D2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2C97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84E3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364A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C4B8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22AF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0A75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E256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7255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9890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6402F"/>
    <w:multiLevelType w:val="multilevel"/>
    <w:tmpl w:val="8E06F192"/>
    <w:lvl w:ilvl="0">
      <w:start w:val="4"/>
      <w:numFmt w:val="decimal"/>
      <w:lvlText w:val="%1"/>
      <w:lvlJc w:val="left"/>
      <w:pPr>
        <w:tabs>
          <w:tab w:val="num" w:pos="720"/>
        </w:tabs>
        <w:ind w:left="720" w:hanging="720"/>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18B45E4"/>
    <w:multiLevelType w:val="multilevel"/>
    <w:tmpl w:val="135C2B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B41F2B"/>
    <w:multiLevelType w:val="multilevel"/>
    <w:tmpl w:val="F4AAB9D0"/>
    <w:lvl w:ilvl="0">
      <w:start w:val="5"/>
      <w:numFmt w:val="decimal"/>
      <w:lvlText w:val="%1"/>
      <w:lvlJc w:val="left"/>
      <w:pPr>
        <w:tabs>
          <w:tab w:val="num" w:pos="720"/>
        </w:tabs>
        <w:ind w:left="720" w:hanging="720"/>
      </w:pPr>
      <w:rPr>
        <w:rFonts w:hint="default"/>
      </w:rPr>
    </w:lvl>
    <w:lvl w:ilvl="1">
      <w:start w:val="1"/>
      <w:numFmt w:val="decimal"/>
      <w:lvlText w:val="4.%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6B71182"/>
    <w:multiLevelType w:val="hybridMultilevel"/>
    <w:tmpl w:val="5E2C2146"/>
    <w:lvl w:ilvl="0" w:tplc="BF826094">
      <w:start w:val="1"/>
      <w:numFmt w:val="decimal"/>
      <w:lvlText w:val="%1."/>
      <w:lvlJc w:val="left"/>
      <w:pPr>
        <w:tabs>
          <w:tab w:val="num" w:pos="1080"/>
        </w:tabs>
        <w:ind w:left="1080" w:hanging="72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9F517A"/>
    <w:multiLevelType w:val="multilevel"/>
    <w:tmpl w:val="1444EC4A"/>
    <w:lvl w:ilvl="0">
      <w:start w:val="5"/>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1F0072E4"/>
    <w:multiLevelType w:val="multilevel"/>
    <w:tmpl w:val="5AFCDBF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09F350E"/>
    <w:multiLevelType w:val="multilevel"/>
    <w:tmpl w:val="7256E32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6927037"/>
    <w:multiLevelType w:val="multilevel"/>
    <w:tmpl w:val="FC363724"/>
    <w:lvl w:ilvl="0">
      <w:start w:val="6"/>
      <w:numFmt w:val="decimal"/>
      <w:lvlText w:val="%1"/>
      <w:lvlJc w:val="left"/>
      <w:pPr>
        <w:tabs>
          <w:tab w:val="num" w:pos="720"/>
        </w:tabs>
        <w:ind w:left="720" w:hanging="720"/>
      </w:pPr>
      <w:rPr>
        <w:rFonts w:hint="default"/>
      </w:rPr>
    </w:lvl>
    <w:lvl w:ilvl="1">
      <w:start w:val="1"/>
      <w:numFmt w:val="decimal"/>
      <w:lvlText w:val="5.%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9C64E39"/>
    <w:multiLevelType w:val="multilevel"/>
    <w:tmpl w:val="47E8FD5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DBC4AA2"/>
    <w:multiLevelType w:val="multilevel"/>
    <w:tmpl w:val="4D9CCFAA"/>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319157BB"/>
    <w:multiLevelType w:val="multilevel"/>
    <w:tmpl w:val="C9788CE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98222D"/>
    <w:multiLevelType w:val="multilevel"/>
    <w:tmpl w:val="A7DE7E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3D45857"/>
    <w:multiLevelType w:val="hybridMultilevel"/>
    <w:tmpl w:val="41B2A7D0"/>
    <w:lvl w:ilvl="0" w:tplc="0578301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C8F4077"/>
    <w:multiLevelType w:val="hybridMultilevel"/>
    <w:tmpl w:val="E81E65D8"/>
    <w:lvl w:ilvl="0" w:tplc="91F61010">
      <w:start w:val="1"/>
      <w:numFmt w:val="decimal"/>
      <w:pStyle w:val="Caption"/>
      <w:lvlText w:val="%1."/>
      <w:lvlJc w:val="left"/>
      <w:pPr>
        <w:ind w:left="1429" w:hanging="360"/>
      </w:pPr>
      <w:rPr>
        <w:b/>
        <w:bCs/>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4" w15:restartNumberingAfterBreak="0">
    <w:nsid w:val="4F5D635B"/>
    <w:multiLevelType w:val="hybridMultilevel"/>
    <w:tmpl w:val="BF70E0A0"/>
    <w:lvl w:ilvl="0" w:tplc="BB0E821A">
      <w:start w:val="1"/>
      <w:numFmt w:val="decimal"/>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5" w15:restartNumberingAfterBreak="0">
    <w:nsid w:val="4FC15645"/>
    <w:multiLevelType w:val="hybridMultilevel"/>
    <w:tmpl w:val="98FA3D5E"/>
    <w:lvl w:ilvl="0" w:tplc="629A456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9641C08"/>
    <w:multiLevelType w:val="multilevel"/>
    <w:tmpl w:val="A0240FF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5036F97"/>
    <w:multiLevelType w:val="hybridMultilevel"/>
    <w:tmpl w:val="22849D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9A52402"/>
    <w:multiLevelType w:val="hybridMultilevel"/>
    <w:tmpl w:val="7BA02E1E"/>
    <w:lvl w:ilvl="0" w:tplc="0578301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824605D"/>
    <w:multiLevelType w:val="hybridMultilevel"/>
    <w:tmpl w:val="67B87936"/>
    <w:lvl w:ilvl="0" w:tplc="96D01134">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FEC4D14"/>
    <w:multiLevelType w:val="hybridMultilevel"/>
    <w:tmpl w:val="91A25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9292675">
    <w:abstractNumId w:val="26"/>
  </w:num>
  <w:num w:numId="2" w16cid:durableId="212812297">
    <w:abstractNumId w:val="21"/>
  </w:num>
  <w:num w:numId="3" w16cid:durableId="397559719">
    <w:abstractNumId w:val="20"/>
  </w:num>
  <w:num w:numId="4" w16cid:durableId="1440490568">
    <w:abstractNumId w:val="14"/>
  </w:num>
  <w:num w:numId="5" w16cid:durableId="1508715878">
    <w:abstractNumId w:val="18"/>
  </w:num>
  <w:num w:numId="6" w16cid:durableId="1533615579">
    <w:abstractNumId w:val="29"/>
  </w:num>
  <w:num w:numId="7" w16cid:durableId="274873477">
    <w:abstractNumId w:val="13"/>
  </w:num>
  <w:num w:numId="8" w16cid:durableId="581061845">
    <w:abstractNumId w:val="10"/>
  </w:num>
  <w:num w:numId="9" w16cid:durableId="1706710432">
    <w:abstractNumId w:val="12"/>
  </w:num>
  <w:num w:numId="10" w16cid:durableId="1550874300">
    <w:abstractNumId w:val="17"/>
  </w:num>
  <w:num w:numId="11" w16cid:durableId="710767878">
    <w:abstractNumId w:val="9"/>
  </w:num>
  <w:num w:numId="12" w16cid:durableId="167671716">
    <w:abstractNumId w:val="7"/>
  </w:num>
  <w:num w:numId="13" w16cid:durableId="1585801218">
    <w:abstractNumId w:val="6"/>
  </w:num>
  <w:num w:numId="14" w16cid:durableId="394670388">
    <w:abstractNumId w:val="5"/>
  </w:num>
  <w:num w:numId="15" w16cid:durableId="1631007590">
    <w:abstractNumId w:val="4"/>
  </w:num>
  <w:num w:numId="16" w16cid:durableId="1308972522">
    <w:abstractNumId w:val="8"/>
  </w:num>
  <w:num w:numId="17" w16cid:durableId="134569482">
    <w:abstractNumId w:val="3"/>
  </w:num>
  <w:num w:numId="18" w16cid:durableId="647562219">
    <w:abstractNumId w:val="2"/>
  </w:num>
  <w:num w:numId="19" w16cid:durableId="1138450583">
    <w:abstractNumId w:val="1"/>
  </w:num>
  <w:num w:numId="20" w16cid:durableId="1476410394">
    <w:abstractNumId w:val="0"/>
  </w:num>
  <w:num w:numId="21" w16cid:durableId="617878218">
    <w:abstractNumId w:val="15"/>
  </w:num>
  <w:num w:numId="22" w16cid:durableId="549460973">
    <w:abstractNumId w:val="19"/>
  </w:num>
  <w:num w:numId="23" w16cid:durableId="1893342195">
    <w:abstractNumId w:val="28"/>
  </w:num>
  <w:num w:numId="24" w16cid:durableId="1885167369">
    <w:abstractNumId w:val="22"/>
  </w:num>
  <w:num w:numId="25" w16cid:durableId="1900702464">
    <w:abstractNumId w:val="25"/>
  </w:num>
  <w:num w:numId="26" w16cid:durableId="753168342">
    <w:abstractNumId w:val="16"/>
  </w:num>
  <w:num w:numId="27" w16cid:durableId="82994918">
    <w:abstractNumId w:val="11"/>
  </w:num>
  <w:num w:numId="28" w16cid:durableId="1040126714">
    <w:abstractNumId w:val="24"/>
  </w:num>
  <w:num w:numId="29" w16cid:durableId="1112746013">
    <w:abstractNumId w:val="27"/>
  </w:num>
  <w:num w:numId="30" w16cid:durableId="851066717">
    <w:abstractNumId w:val="23"/>
  </w:num>
  <w:num w:numId="31" w16cid:durableId="13282918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0E6"/>
    <w:rsid w:val="00015DF9"/>
    <w:rsid w:val="00020816"/>
    <w:rsid w:val="00031961"/>
    <w:rsid w:val="00036203"/>
    <w:rsid w:val="00036E43"/>
    <w:rsid w:val="0005085D"/>
    <w:rsid w:val="000575B0"/>
    <w:rsid w:val="00096778"/>
    <w:rsid w:val="00097B44"/>
    <w:rsid w:val="000B0AE8"/>
    <w:rsid w:val="000C06B5"/>
    <w:rsid w:val="000C5123"/>
    <w:rsid w:val="000D3963"/>
    <w:rsid w:val="000E7451"/>
    <w:rsid w:val="0010635B"/>
    <w:rsid w:val="00134ACA"/>
    <w:rsid w:val="00156A0D"/>
    <w:rsid w:val="00156F4E"/>
    <w:rsid w:val="00175BB0"/>
    <w:rsid w:val="001A2AF3"/>
    <w:rsid w:val="001D49AA"/>
    <w:rsid w:val="001D5522"/>
    <w:rsid w:val="001E79E1"/>
    <w:rsid w:val="002023D5"/>
    <w:rsid w:val="0020665A"/>
    <w:rsid w:val="0020735F"/>
    <w:rsid w:val="002077F9"/>
    <w:rsid w:val="00211A90"/>
    <w:rsid w:val="002158B6"/>
    <w:rsid w:val="00226489"/>
    <w:rsid w:val="00244D8A"/>
    <w:rsid w:val="00261002"/>
    <w:rsid w:val="00266881"/>
    <w:rsid w:val="002679AE"/>
    <w:rsid w:val="002B2AC1"/>
    <w:rsid w:val="002B400B"/>
    <w:rsid w:val="002B61B5"/>
    <w:rsid w:val="002D3563"/>
    <w:rsid w:val="002D65E7"/>
    <w:rsid w:val="003055F5"/>
    <w:rsid w:val="0031493C"/>
    <w:rsid w:val="003223F7"/>
    <w:rsid w:val="0032425E"/>
    <w:rsid w:val="0033035A"/>
    <w:rsid w:val="00335E20"/>
    <w:rsid w:val="0033631D"/>
    <w:rsid w:val="00340710"/>
    <w:rsid w:val="003416B6"/>
    <w:rsid w:val="00360E23"/>
    <w:rsid w:val="003640C5"/>
    <w:rsid w:val="00371A9E"/>
    <w:rsid w:val="00380150"/>
    <w:rsid w:val="003932B7"/>
    <w:rsid w:val="003B114A"/>
    <w:rsid w:val="003B1975"/>
    <w:rsid w:val="003B230A"/>
    <w:rsid w:val="003B32F3"/>
    <w:rsid w:val="003D2756"/>
    <w:rsid w:val="003D2B84"/>
    <w:rsid w:val="003E4BE0"/>
    <w:rsid w:val="003F0723"/>
    <w:rsid w:val="003F5044"/>
    <w:rsid w:val="00400ADA"/>
    <w:rsid w:val="00400E3E"/>
    <w:rsid w:val="00411E80"/>
    <w:rsid w:val="00431E7E"/>
    <w:rsid w:val="00440C81"/>
    <w:rsid w:val="004455A5"/>
    <w:rsid w:val="004747A4"/>
    <w:rsid w:val="00476D84"/>
    <w:rsid w:val="00483BF3"/>
    <w:rsid w:val="004A54FA"/>
    <w:rsid w:val="004E10D2"/>
    <w:rsid w:val="004E3660"/>
    <w:rsid w:val="004E7BB7"/>
    <w:rsid w:val="00503FF0"/>
    <w:rsid w:val="00504B4A"/>
    <w:rsid w:val="00506DBB"/>
    <w:rsid w:val="005101D3"/>
    <w:rsid w:val="00514B3E"/>
    <w:rsid w:val="005418B8"/>
    <w:rsid w:val="00547EAE"/>
    <w:rsid w:val="00563249"/>
    <w:rsid w:val="00587FDC"/>
    <w:rsid w:val="005A22C3"/>
    <w:rsid w:val="005A7736"/>
    <w:rsid w:val="005C7B94"/>
    <w:rsid w:val="005D6FD2"/>
    <w:rsid w:val="005E17C4"/>
    <w:rsid w:val="005E458F"/>
    <w:rsid w:val="00636A8F"/>
    <w:rsid w:val="00655499"/>
    <w:rsid w:val="00662B14"/>
    <w:rsid w:val="0067497D"/>
    <w:rsid w:val="00684395"/>
    <w:rsid w:val="00691C14"/>
    <w:rsid w:val="006921F3"/>
    <w:rsid w:val="006972EB"/>
    <w:rsid w:val="006A427D"/>
    <w:rsid w:val="006C06A4"/>
    <w:rsid w:val="006C47DC"/>
    <w:rsid w:val="006C50B2"/>
    <w:rsid w:val="006D2089"/>
    <w:rsid w:val="006D637F"/>
    <w:rsid w:val="006D6580"/>
    <w:rsid w:val="006E1585"/>
    <w:rsid w:val="006E4D03"/>
    <w:rsid w:val="006F672B"/>
    <w:rsid w:val="00701157"/>
    <w:rsid w:val="00712FAC"/>
    <w:rsid w:val="00713C27"/>
    <w:rsid w:val="007149C3"/>
    <w:rsid w:val="007150B3"/>
    <w:rsid w:val="0078748E"/>
    <w:rsid w:val="007D6CEB"/>
    <w:rsid w:val="007E1E7E"/>
    <w:rsid w:val="007F14AA"/>
    <w:rsid w:val="00837919"/>
    <w:rsid w:val="00842095"/>
    <w:rsid w:val="0085351C"/>
    <w:rsid w:val="00856F06"/>
    <w:rsid w:val="00870841"/>
    <w:rsid w:val="008758B1"/>
    <w:rsid w:val="00891552"/>
    <w:rsid w:val="00893BCB"/>
    <w:rsid w:val="008A68F9"/>
    <w:rsid w:val="008A742E"/>
    <w:rsid w:val="008C63ED"/>
    <w:rsid w:val="009045AB"/>
    <w:rsid w:val="009113B8"/>
    <w:rsid w:val="0092292D"/>
    <w:rsid w:val="009350E6"/>
    <w:rsid w:val="00946C3B"/>
    <w:rsid w:val="00947A94"/>
    <w:rsid w:val="0095038E"/>
    <w:rsid w:val="00951D13"/>
    <w:rsid w:val="00955F75"/>
    <w:rsid w:val="00962AEA"/>
    <w:rsid w:val="009940F7"/>
    <w:rsid w:val="009C0B7B"/>
    <w:rsid w:val="00A11FAF"/>
    <w:rsid w:val="00A33BD6"/>
    <w:rsid w:val="00A40C6B"/>
    <w:rsid w:val="00A45034"/>
    <w:rsid w:val="00A67FDD"/>
    <w:rsid w:val="00AA6597"/>
    <w:rsid w:val="00AC3865"/>
    <w:rsid w:val="00AF16C0"/>
    <w:rsid w:val="00B22966"/>
    <w:rsid w:val="00B41213"/>
    <w:rsid w:val="00B46358"/>
    <w:rsid w:val="00B53E81"/>
    <w:rsid w:val="00B628BA"/>
    <w:rsid w:val="00B84D66"/>
    <w:rsid w:val="00BA3217"/>
    <w:rsid w:val="00BB5A5B"/>
    <w:rsid w:val="00BC1CE2"/>
    <w:rsid w:val="00BC700D"/>
    <w:rsid w:val="00BD5776"/>
    <w:rsid w:val="00BE3785"/>
    <w:rsid w:val="00BF16F5"/>
    <w:rsid w:val="00BF1B9D"/>
    <w:rsid w:val="00C169C1"/>
    <w:rsid w:val="00C21FFE"/>
    <w:rsid w:val="00C24637"/>
    <w:rsid w:val="00C30BFE"/>
    <w:rsid w:val="00C705D2"/>
    <w:rsid w:val="00C70B9E"/>
    <w:rsid w:val="00C822DC"/>
    <w:rsid w:val="00C87DED"/>
    <w:rsid w:val="00C939E8"/>
    <w:rsid w:val="00CB11A1"/>
    <w:rsid w:val="00CC2739"/>
    <w:rsid w:val="00CC2C11"/>
    <w:rsid w:val="00CE57C6"/>
    <w:rsid w:val="00CE6367"/>
    <w:rsid w:val="00CF2A2B"/>
    <w:rsid w:val="00D0560E"/>
    <w:rsid w:val="00D21CD3"/>
    <w:rsid w:val="00D30184"/>
    <w:rsid w:val="00D367A4"/>
    <w:rsid w:val="00D40053"/>
    <w:rsid w:val="00D444D2"/>
    <w:rsid w:val="00D530DA"/>
    <w:rsid w:val="00D64AED"/>
    <w:rsid w:val="00D80313"/>
    <w:rsid w:val="00D80956"/>
    <w:rsid w:val="00D835B5"/>
    <w:rsid w:val="00D9086E"/>
    <w:rsid w:val="00D97086"/>
    <w:rsid w:val="00DA2149"/>
    <w:rsid w:val="00DB2E0F"/>
    <w:rsid w:val="00DE45BA"/>
    <w:rsid w:val="00DF3973"/>
    <w:rsid w:val="00E05B78"/>
    <w:rsid w:val="00E06BC9"/>
    <w:rsid w:val="00E1142F"/>
    <w:rsid w:val="00E30A3C"/>
    <w:rsid w:val="00E32D91"/>
    <w:rsid w:val="00E33EEF"/>
    <w:rsid w:val="00E34B02"/>
    <w:rsid w:val="00E4130D"/>
    <w:rsid w:val="00E4280E"/>
    <w:rsid w:val="00E46B4B"/>
    <w:rsid w:val="00E47600"/>
    <w:rsid w:val="00E673CE"/>
    <w:rsid w:val="00EB12BD"/>
    <w:rsid w:val="00EB1687"/>
    <w:rsid w:val="00EB3731"/>
    <w:rsid w:val="00EC5D73"/>
    <w:rsid w:val="00ED1705"/>
    <w:rsid w:val="00ED48BF"/>
    <w:rsid w:val="00ED51B1"/>
    <w:rsid w:val="00ED68C4"/>
    <w:rsid w:val="00EE4501"/>
    <w:rsid w:val="00F149C0"/>
    <w:rsid w:val="00F153B7"/>
    <w:rsid w:val="00F30E6F"/>
    <w:rsid w:val="00F4535B"/>
    <w:rsid w:val="00F74603"/>
    <w:rsid w:val="00F77FC8"/>
    <w:rsid w:val="00FA2882"/>
    <w:rsid w:val="00FC0DD0"/>
    <w:rsid w:val="00FC331F"/>
    <w:rsid w:val="00FC45B2"/>
    <w:rsid w:val="00FE2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2BFF5"/>
  <w15:chartTrackingRefBased/>
  <w15:docId w15:val="{BCA82C4A-F29C-4379-8857-BC229F03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739"/>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2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D444D2"/>
    <w:pPr>
      <w:widowControl w:val="0"/>
      <w:tabs>
        <w:tab w:val="left" w:pos="-720"/>
      </w:tabs>
      <w:suppressAutoHyphens/>
      <w:spacing w:line="480" w:lineRule="auto"/>
      <w:ind w:left="709"/>
      <w:jc w:val="both"/>
    </w:pPr>
    <w:rPr>
      <w:rFonts w:ascii="CG Times" w:hAnsi="CG Times"/>
      <w:snapToGrid w:val="0"/>
      <w:spacing w:val="-3"/>
      <w:szCs w:val="20"/>
      <w:lang w:val="en-GB"/>
    </w:rPr>
  </w:style>
  <w:style w:type="paragraph" w:styleId="Caption">
    <w:name w:val="caption"/>
    <w:aliases w:val="Body Text Sections"/>
    <w:basedOn w:val="ListParagraph"/>
    <w:next w:val="Normal"/>
    <w:qFormat/>
    <w:rsid w:val="00CE57C6"/>
    <w:pPr>
      <w:numPr>
        <w:numId w:val="30"/>
      </w:numPr>
      <w:spacing w:line="360" w:lineRule="auto"/>
      <w:ind w:left="709" w:hanging="709"/>
      <w:jc w:val="both"/>
    </w:pPr>
    <w:rPr>
      <w:lang w:val="en-GB"/>
    </w:rPr>
  </w:style>
  <w:style w:type="paragraph" w:styleId="Header">
    <w:name w:val="header"/>
    <w:basedOn w:val="Normal"/>
    <w:link w:val="HeaderChar"/>
    <w:uiPriority w:val="99"/>
    <w:unhideWhenUsed/>
    <w:rsid w:val="00691C14"/>
    <w:pPr>
      <w:tabs>
        <w:tab w:val="center" w:pos="4513"/>
        <w:tab w:val="right" w:pos="9026"/>
      </w:tabs>
    </w:pPr>
  </w:style>
  <w:style w:type="character" w:customStyle="1" w:styleId="HeaderChar">
    <w:name w:val="Header Char"/>
    <w:link w:val="Header"/>
    <w:uiPriority w:val="99"/>
    <w:rsid w:val="00691C14"/>
    <w:rPr>
      <w:rFonts w:ascii="Arial" w:hAnsi="Arial"/>
      <w:sz w:val="24"/>
      <w:szCs w:val="24"/>
      <w:lang w:val="en-US" w:eastAsia="en-US"/>
    </w:rPr>
  </w:style>
  <w:style w:type="paragraph" w:styleId="Footer">
    <w:name w:val="footer"/>
    <w:basedOn w:val="Normal"/>
    <w:link w:val="FooterChar"/>
    <w:uiPriority w:val="99"/>
    <w:unhideWhenUsed/>
    <w:rsid w:val="00691C14"/>
    <w:pPr>
      <w:tabs>
        <w:tab w:val="center" w:pos="4513"/>
        <w:tab w:val="right" w:pos="9026"/>
      </w:tabs>
    </w:pPr>
  </w:style>
  <w:style w:type="character" w:customStyle="1" w:styleId="FooterChar">
    <w:name w:val="Footer Char"/>
    <w:link w:val="Footer"/>
    <w:uiPriority w:val="99"/>
    <w:rsid w:val="00691C14"/>
    <w:rPr>
      <w:rFonts w:ascii="Arial" w:hAnsi="Arial"/>
      <w:sz w:val="24"/>
      <w:szCs w:val="24"/>
      <w:lang w:val="en-US" w:eastAsia="en-US"/>
    </w:rPr>
  </w:style>
  <w:style w:type="paragraph" w:styleId="BalloonText">
    <w:name w:val="Balloon Text"/>
    <w:basedOn w:val="Normal"/>
    <w:link w:val="BalloonTextChar"/>
    <w:uiPriority w:val="99"/>
    <w:semiHidden/>
    <w:unhideWhenUsed/>
    <w:rsid w:val="00691C14"/>
    <w:rPr>
      <w:rFonts w:ascii="Tahoma" w:hAnsi="Tahoma" w:cs="Tahoma"/>
      <w:sz w:val="16"/>
      <w:szCs w:val="16"/>
    </w:rPr>
  </w:style>
  <w:style w:type="character" w:customStyle="1" w:styleId="BalloonTextChar">
    <w:name w:val="Balloon Text Char"/>
    <w:link w:val="BalloonText"/>
    <w:uiPriority w:val="99"/>
    <w:semiHidden/>
    <w:rsid w:val="00691C14"/>
    <w:rPr>
      <w:rFonts w:ascii="Tahoma" w:hAnsi="Tahoma" w:cs="Tahoma"/>
      <w:sz w:val="16"/>
      <w:szCs w:val="16"/>
      <w:lang w:val="en-US" w:eastAsia="en-US"/>
    </w:rPr>
  </w:style>
  <w:style w:type="paragraph" w:styleId="ListParagraph">
    <w:name w:val="List Paragraph"/>
    <w:basedOn w:val="Normal"/>
    <w:uiPriority w:val="34"/>
    <w:qFormat/>
    <w:rsid w:val="00EE4501"/>
    <w:pPr>
      <w:ind w:left="720"/>
    </w:pPr>
  </w:style>
  <w:style w:type="character" w:styleId="CommentReference">
    <w:name w:val="annotation reference"/>
    <w:basedOn w:val="DefaultParagraphFont"/>
    <w:uiPriority w:val="99"/>
    <w:semiHidden/>
    <w:unhideWhenUsed/>
    <w:rsid w:val="00B41213"/>
    <w:rPr>
      <w:sz w:val="16"/>
      <w:szCs w:val="16"/>
    </w:rPr>
  </w:style>
  <w:style w:type="paragraph" w:styleId="CommentText">
    <w:name w:val="annotation text"/>
    <w:basedOn w:val="Normal"/>
    <w:link w:val="CommentTextChar"/>
    <w:uiPriority w:val="99"/>
    <w:semiHidden/>
    <w:unhideWhenUsed/>
    <w:rsid w:val="00B41213"/>
    <w:rPr>
      <w:sz w:val="20"/>
      <w:szCs w:val="20"/>
    </w:rPr>
  </w:style>
  <w:style w:type="character" w:customStyle="1" w:styleId="CommentTextChar">
    <w:name w:val="Comment Text Char"/>
    <w:basedOn w:val="DefaultParagraphFont"/>
    <w:link w:val="CommentText"/>
    <w:uiPriority w:val="99"/>
    <w:semiHidden/>
    <w:rsid w:val="00B41213"/>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B41213"/>
    <w:rPr>
      <w:b/>
      <w:bCs/>
    </w:rPr>
  </w:style>
  <w:style w:type="character" w:customStyle="1" w:styleId="CommentSubjectChar">
    <w:name w:val="Comment Subject Char"/>
    <w:basedOn w:val="CommentTextChar"/>
    <w:link w:val="CommentSubject"/>
    <w:uiPriority w:val="99"/>
    <w:semiHidden/>
    <w:rsid w:val="00B41213"/>
    <w:rPr>
      <w:rFonts w:ascii="Arial" w:hAnsi="Arial"/>
      <w:b/>
      <w:bCs/>
      <w:lang w:val="en-US" w:eastAsia="en-US"/>
    </w:rPr>
  </w:style>
  <w:style w:type="paragraph" w:styleId="Revision">
    <w:name w:val="Revision"/>
    <w:hidden/>
    <w:uiPriority w:val="99"/>
    <w:semiHidden/>
    <w:rsid w:val="00A67FDD"/>
    <w:rPr>
      <w:rFonts w:ascii="Arial" w:hAnsi="Arial"/>
      <w:sz w:val="24"/>
      <w:szCs w:val="24"/>
      <w:lang w:val="en-US" w:eastAsia="en-US"/>
    </w:rPr>
  </w:style>
  <w:style w:type="character" w:styleId="Hyperlink">
    <w:name w:val="Hyperlink"/>
    <w:basedOn w:val="DefaultParagraphFont"/>
    <w:uiPriority w:val="99"/>
    <w:unhideWhenUsed/>
    <w:rsid w:val="00F153B7"/>
    <w:rPr>
      <w:color w:val="0563C1" w:themeColor="hyperlink"/>
      <w:u w:val="single"/>
    </w:rPr>
  </w:style>
  <w:style w:type="character" w:styleId="UnresolvedMention">
    <w:name w:val="Unresolved Mention"/>
    <w:basedOn w:val="DefaultParagraphFont"/>
    <w:uiPriority w:val="99"/>
    <w:semiHidden/>
    <w:unhideWhenUsed/>
    <w:rsid w:val="00F153B7"/>
    <w:rPr>
      <w:color w:val="605E5C"/>
      <w:shd w:val="clear" w:color="auto" w:fill="E1DFDD"/>
    </w:rPr>
  </w:style>
  <w:style w:type="character" w:styleId="FollowedHyperlink">
    <w:name w:val="FollowedHyperlink"/>
    <w:basedOn w:val="DefaultParagraphFont"/>
    <w:uiPriority w:val="99"/>
    <w:semiHidden/>
    <w:unhideWhenUsed/>
    <w:rsid w:val="00D301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09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capital-finance-guidance-on-local-government-investments-second-edi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E037712A07E44A9D01224D4B6CEDC4" ma:contentTypeVersion="14" ma:contentTypeDescription="Create a new document." ma:contentTypeScope="" ma:versionID="997621fb30f00a7ae1ae82958af547f2">
  <xsd:schema xmlns:xsd="http://www.w3.org/2001/XMLSchema" xmlns:xs="http://www.w3.org/2001/XMLSchema" xmlns:p="http://schemas.microsoft.com/office/2006/metadata/properties" xmlns:ns3="9285eb14-a455-4c6a-9f1b-df6e37fc41b9" xmlns:ns4="b10eb608-c94a-4248-88a2-3b7660aca961" targetNamespace="http://schemas.microsoft.com/office/2006/metadata/properties" ma:root="true" ma:fieldsID="1a2ae97a5bcfb8135b9b063e664344ea" ns3:_="" ns4:_="">
    <xsd:import namespace="9285eb14-a455-4c6a-9f1b-df6e37fc41b9"/>
    <xsd:import namespace="b10eb608-c94a-4248-88a2-3b7660aca9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5eb14-a455-4c6a-9f1b-df6e37fc41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eb608-c94a-4248-88a2-3b7660aca9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22657-BCCA-4297-8CB0-59E66D9291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3951CC-3CBE-462C-A2E5-59E8F81C7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5eb14-a455-4c6a-9f1b-df6e37fc41b9"/>
    <ds:schemaRef ds:uri="b10eb608-c94a-4248-88a2-3b7660aca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647667-6E71-469E-8099-639360C0A63F}">
  <ds:schemaRefs>
    <ds:schemaRef ds:uri="http://schemas.openxmlformats.org/officeDocument/2006/bibliography"/>
  </ds:schemaRefs>
</ds:datastoreItem>
</file>

<file path=customXml/itemProps4.xml><?xml version="1.0" encoding="utf-8"?>
<ds:datastoreItem xmlns:ds="http://schemas.openxmlformats.org/officeDocument/2006/customXml" ds:itemID="{5568524F-401C-4A16-8AD3-65FC086F9B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755</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REPORT OF TOWN CLERK TO MEETING OF FINANCE &amp; GENERAL PURPOSES GROUP COMMITTEE HELD ON TUESDAY, 4TH MAY, 2004</vt:lpstr>
    </vt:vector>
  </TitlesOfParts>
  <Company>Microsoft</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TOWN CLERK TO MEETING OF FINANCE &amp; GENERAL PURPOSES GROUP COMMITTEE HELD ON TUESDAY, 4TH MAY, 2004</dc:title>
  <dc:subject/>
  <dc:creator>Karen Singleton</dc:creator>
  <cp:keywords/>
  <cp:lastModifiedBy>Rebecca Terry</cp:lastModifiedBy>
  <cp:revision>3</cp:revision>
  <cp:lastPrinted>2018-02-12T14:25:00Z</cp:lastPrinted>
  <dcterms:created xsi:type="dcterms:W3CDTF">2025-04-07T13:10:00Z</dcterms:created>
  <dcterms:modified xsi:type="dcterms:W3CDTF">2025-04-07T13:11:00Z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0x010100ECE037712A07E44A9D01224D4B6CEDC4</vt:lpwstr>
  </property>
</Properties>
</file>